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146C7" w14:textId="77777777" w:rsidR="00380B92" w:rsidRDefault="00000000">
      <w:pPr>
        <w:spacing w:after="380" w:line="480" w:lineRule="auto"/>
        <w:jc w:val="center"/>
        <w:rPr>
          <w:b/>
        </w:rPr>
      </w:pPr>
      <w:r>
        <w:rPr>
          <w:b/>
        </w:rPr>
        <w:t>Understanding Solid-state Photochemical Energy Storage in Polymers with Azobenzene Side Groups</w:t>
      </w:r>
    </w:p>
    <w:p w14:paraId="1474EF0D" w14:textId="77777777" w:rsidR="00380B92" w:rsidRDefault="00000000">
      <w:pPr>
        <w:spacing w:after="380" w:line="480" w:lineRule="auto"/>
        <w:jc w:val="both"/>
        <w:rPr>
          <w:b/>
        </w:rPr>
      </w:pPr>
      <w:r>
        <w:t>Callum Wallace,</w:t>
      </w:r>
      <w:r>
        <w:rPr>
          <w:vertAlign w:val="superscript"/>
        </w:rPr>
        <w:t>1</w:t>
      </w:r>
      <w:r>
        <w:t xml:space="preserve"> Kieran Griffiths,</w:t>
      </w:r>
      <w:r>
        <w:rPr>
          <w:vertAlign w:val="superscript"/>
        </w:rPr>
        <w:t>1</w:t>
      </w:r>
      <w:r>
        <w:t xml:space="preserve"> Benjamin L. Dale,</w:t>
      </w:r>
      <w:r>
        <w:rPr>
          <w:vertAlign w:val="superscript"/>
        </w:rPr>
        <w:t>1</w:t>
      </w:r>
      <w:r>
        <w:t xml:space="preserve"> Stuart Roberts,</w:t>
      </w:r>
      <w:r>
        <w:rPr>
          <w:vertAlign w:val="superscript"/>
        </w:rPr>
        <w:t>2</w:t>
      </w:r>
      <w:r>
        <w:t xml:space="preserve"> Jonathan Parsons,</w:t>
      </w:r>
      <w:r>
        <w:rPr>
          <w:vertAlign w:val="superscript"/>
        </w:rPr>
        <w:t>2</w:t>
      </w:r>
      <w:r>
        <w:t xml:space="preserve"> John M. Griffin,</w:t>
      </w:r>
      <w:r>
        <w:rPr>
          <w:vertAlign w:val="superscript"/>
        </w:rPr>
        <w:t>1,3</w:t>
      </w:r>
      <w:r>
        <w:t>* Verena Görtz</w:t>
      </w:r>
      <w:r>
        <w:rPr>
          <w:vertAlign w:val="superscript"/>
        </w:rPr>
        <w:t>1</w:t>
      </w:r>
      <w:r>
        <w:t>*</w:t>
      </w:r>
    </w:p>
    <w:p w14:paraId="65038663" w14:textId="77777777" w:rsidR="00380B92" w:rsidRDefault="00000000">
      <w:pPr>
        <w:spacing w:line="480" w:lineRule="auto"/>
        <w:jc w:val="both"/>
        <w:rPr>
          <w:i/>
        </w:rPr>
      </w:pPr>
      <w:r>
        <w:rPr>
          <w:i/>
          <w:sz w:val="36"/>
          <w:szCs w:val="36"/>
          <w:vertAlign w:val="superscript"/>
        </w:rPr>
        <w:t>1</w:t>
      </w:r>
      <w:r>
        <w:rPr>
          <w:i/>
        </w:rPr>
        <w:t>Department of Chemistry, Lancaster University, Lancaster, LA1 4YB, United Kingdom</w:t>
      </w:r>
    </w:p>
    <w:p w14:paraId="53476B71" w14:textId="77777777" w:rsidR="00380B92" w:rsidRDefault="00000000">
      <w:pPr>
        <w:spacing w:line="480" w:lineRule="auto"/>
        <w:jc w:val="both"/>
        <w:rPr>
          <w:sz w:val="16"/>
          <w:szCs w:val="16"/>
        </w:rPr>
      </w:pPr>
      <w:r>
        <w:rPr>
          <w:i/>
          <w:sz w:val="36"/>
          <w:szCs w:val="36"/>
          <w:vertAlign w:val="superscript"/>
        </w:rPr>
        <w:t>2</w:t>
      </w:r>
      <w:r>
        <w:rPr>
          <w:i/>
        </w:rPr>
        <w:t>Jaguar Land Rover Research, International Digital Laboratory, University of Warwick, CV4 7AL, United Kingdom</w:t>
      </w:r>
    </w:p>
    <w:p w14:paraId="75F1A1F8" w14:textId="77777777" w:rsidR="00380B92" w:rsidRDefault="00000000">
      <w:pPr>
        <w:spacing w:line="480" w:lineRule="auto"/>
        <w:jc w:val="both"/>
        <w:rPr>
          <w:i/>
        </w:rPr>
      </w:pPr>
      <w:r>
        <w:rPr>
          <w:i/>
          <w:sz w:val="36"/>
          <w:szCs w:val="36"/>
          <w:vertAlign w:val="superscript"/>
        </w:rPr>
        <w:t>3</w:t>
      </w:r>
      <w:r>
        <w:rPr>
          <w:i/>
        </w:rPr>
        <w:t>Materials Science Institute, Lancaster University, Lancaster, LA1 4YB, United Kingdom</w:t>
      </w:r>
    </w:p>
    <w:p w14:paraId="51DF91B7" w14:textId="77777777" w:rsidR="00380B92" w:rsidRDefault="00380B92">
      <w:pPr>
        <w:spacing w:line="480" w:lineRule="auto"/>
        <w:jc w:val="both"/>
        <w:rPr>
          <w:i/>
        </w:rPr>
      </w:pPr>
    </w:p>
    <w:p w14:paraId="08E6059B" w14:textId="77777777" w:rsidR="00380B92" w:rsidRDefault="00380B92">
      <w:pPr>
        <w:spacing w:line="480" w:lineRule="auto"/>
        <w:jc w:val="both"/>
        <w:rPr>
          <w:i/>
        </w:rPr>
      </w:pPr>
    </w:p>
    <w:p w14:paraId="7B71C2E7" w14:textId="77777777" w:rsidR="00380B92" w:rsidRDefault="00000000">
      <w:pPr>
        <w:spacing w:line="480" w:lineRule="auto"/>
        <w:jc w:val="both"/>
      </w:pPr>
      <w:r>
        <w:rPr>
          <w:b/>
        </w:rPr>
        <w:t>ABSTRACT:</w:t>
      </w:r>
      <w:r>
        <w:t xml:space="preserve"> Solar thermal fuel (STF) materials store energy through light-induced changes in the structures of photoactive molecular groups, and the stored energy is released as heat when the system undergoes reconversion to the ground state structure. Solid-state STF devices could be useful for a range of applications; however, the light-induced structural changes required for energy storage are often limited or prevented by dense molecular packing in condensed phases. Recently, polymers have been proposed as effective solid-state STF platforms as they can offer the bulk properties of solid materials while retaining the molecular-level free volume and/or mobility to enable local structural changes in </w:t>
      </w:r>
      <w:proofErr w:type="spellStart"/>
      <w:r>
        <w:t>photoresponsive</w:t>
      </w:r>
      <w:proofErr w:type="spellEnd"/>
      <w:r>
        <w:t xml:space="preserve"> groups. Light-induced energy storage and macroscopic heat release has been demonstrated for acrylate polymers with photo-</w:t>
      </w:r>
      <w:proofErr w:type="spellStart"/>
      <w:r>
        <w:t>isomerisable</w:t>
      </w:r>
      <w:proofErr w:type="spellEnd"/>
      <w:r>
        <w:t xml:space="preserve"> azobenzene side groups. However, the mechanism of energy storage and the link between the polymer structure and energy density and storage duration has not yet been explored in detail. In this work, we present a systematic study of methacrylate- and acrylate-based </w:t>
      </w:r>
      <w:r>
        <w:lastRenderedPageBreak/>
        <w:t xml:space="preserve">polymers with azobenzene side groups to establish the mechanism of energy storage and release, and the factors affecting the energy density and reconversion kinetics. For polymers with directly attached azobenzene </w:t>
      </w:r>
      <w:proofErr w:type="spellStart"/>
      <w:r>
        <w:t>sidegroups</w:t>
      </w:r>
      <w:proofErr w:type="spellEnd"/>
      <w:r>
        <w:t xml:space="preserve">, the energy storage properties are in line with previous work on similar systems, and the </w:t>
      </w:r>
      <w:proofErr w:type="spellStart"/>
      <w:r>
        <w:t>photoisomerisation</w:t>
      </w:r>
      <w:proofErr w:type="spellEnd"/>
      <w:r>
        <w:t xml:space="preserve"> and reconversion properties of the azobenzene side groups mirror those of molecular azobenzene. However, the inclusion of an alkyl linker between the azobenzene side group and the backbone significantly increases the </w:t>
      </w:r>
      <w:proofErr w:type="spellStart"/>
      <w:r>
        <w:t>photoswitching</w:t>
      </w:r>
      <w:proofErr w:type="spellEnd"/>
      <w:r>
        <w:t xml:space="preserve"> efficiency, giving almost quantitative conversion to the </w:t>
      </w:r>
      <w:r>
        <w:rPr>
          <w:i/>
        </w:rPr>
        <w:t>Z</w:t>
      </w:r>
      <w:r>
        <w:t xml:space="preserve"> isomeric state. The presence of the alkyl linker also reduces the glass transition temperature and leads to faster spontaneous thermal reconversion to the </w:t>
      </w:r>
      <w:r>
        <w:rPr>
          <w:i/>
        </w:rPr>
        <w:t>E</w:t>
      </w:r>
      <w:r>
        <w:t xml:space="preserve"> isomeric form, but in all cases half-lives of more than 4 days are observed in the solid state which provides scope for applications requiring daily energy storage-release cycles. The maximum gravimetric energy density observed is 143 J g</w:t>
      </w:r>
      <w:r>
        <w:rPr>
          <w:vertAlign w:val="superscript"/>
        </w:rPr>
        <w:t>–1</w:t>
      </w:r>
      <w:r>
        <w:t xml:space="preserve"> which represents an increase of up to 44% compared to polymers with directly attached azobenzene moieties.</w:t>
      </w:r>
    </w:p>
    <w:p w14:paraId="564F0F94" w14:textId="77777777" w:rsidR="00380B92" w:rsidRDefault="00380B92">
      <w:pPr>
        <w:spacing w:line="480" w:lineRule="auto"/>
        <w:jc w:val="both"/>
      </w:pPr>
    </w:p>
    <w:p w14:paraId="32157DC1" w14:textId="10643A7C" w:rsidR="00380B92" w:rsidRDefault="00000000">
      <w:pPr>
        <w:spacing w:line="480" w:lineRule="auto"/>
        <w:jc w:val="both"/>
        <w:rPr>
          <w:b/>
        </w:rPr>
      </w:pPr>
      <w:r w:rsidRPr="001A1D3F">
        <w:rPr>
          <w:b/>
          <w:highlight w:val="yellow"/>
        </w:rPr>
        <w:t xml:space="preserve">KEYWORDS: </w:t>
      </w:r>
      <w:r w:rsidRPr="001A1D3F">
        <w:rPr>
          <w:highlight w:val="yellow"/>
        </w:rPr>
        <w:t>solar thermal fuel, azobenzene polymer</w:t>
      </w:r>
      <w:r w:rsidR="0040483C" w:rsidRPr="001A1D3F">
        <w:rPr>
          <w:highlight w:val="yellow"/>
        </w:rPr>
        <w:t xml:space="preserve">, energy storage, solar energy, energy conversion, energy materials, </w:t>
      </w:r>
      <w:proofErr w:type="spellStart"/>
      <w:r w:rsidR="0040483C" w:rsidRPr="001A1D3F">
        <w:rPr>
          <w:highlight w:val="yellow"/>
        </w:rPr>
        <w:t>photoresponsive</w:t>
      </w:r>
      <w:proofErr w:type="spellEnd"/>
      <w:r w:rsidR="0040483C" w:rsidRPr="001A1D3F">
        <w:rPr>
          <w:highlight w:val="yellow"/>
        </w:rPr>
        <w:t xml:space="preserve"> polymer</w:t>
      </w:r>
    </w:p>
    <w:p w14:paraId="7D86188C" w14:textId="77777777" w:rsidR="00380B92" w:rsidRDefault="00000000">
      <w:r>
        <w:br w:type="page"/>
      </w:r>
    </w:p>
    <w:p w14:paraId="1C689EFC" w14:textId="77777777" w:rsidR="00380B92" w:rsidRDefault="00000000">
      <w:pPr>
        <w:spacing w:after="160" w:line="480" w:lineRule="auto"/>
        <w:jc w:val="both"/>
      </w:pPr>
      <w:r>
        <w:rPr>
          <w:b/>
        </w:rPr>
        <w:lastRenderedPageBreak/>
        <w:t>INTRODUCTION</w:t>
      </w:r>
    </w:p>
    <w:p w14:paraId="74A7E137" w14:textId="5092645A" w:rsidR="00380B92" w:rsidRDefault="00000000">
      <w:pPr>
        <w:spacing w:after="160" w:line="480" w:lineRule="auto"/>
        <w:ind w:firstLine="720"/>
        <w:jc w:val="both"/>
      </w:pPr>
      <w:r>
        <w:t>The development of technologies for solar energy conversion and storage is crucial to support the global move towards renewable energy sources. One class of materials that attracts increasing attention is solar thermal fuel (STF) energy storage materials, which use photoactive molecules to convert photon energy to thermal energy through reversible isomerization between ground and metastable isomeric states.</w:t>
      </w:r>
      <w:r w:rsidR="008109DC">
        <w:fldChar w:fldCharType="begin"/>
      </w:r>
      <w:r w:rsidR="008109DC">
        <w:instrText xml:space="preserve"> ADDIN ZOTERO_ITEM CSL_CITATION {"citationID":"oAYgzxrr","properties":{"formattedCitation":"\\super 1,2\\nosupersub{}","plainCitation":"1,2","noteIndex":0},"citationItems":[{"id":1151,"uris":["http://zotero.org/users/7567464/items/WP5PQ7JY"],"itemData":{"id":1151,"type":"article-journal","abstract":"This review analyzes the inherent scientific challenges of realizing the potential of storing solar energy by photochemical generation of high-energy metastable compounds whose subsequent thermal isomerization releases large amounts of low-temperature (&lt;500 K) heat. Such compounds may be stored at room temperature for days or months, regenerated using sunlight, and may be cycled many times without significant degradation. After highlighting some of the general challenges of solar energy conversion and storage, we discuss how recent advances in understanding the effect of molecular strain on the thermal and photochemical reactivity of small molecules offers new opportunities for a systematic approach to the molecular design of solar thermal fuels, defining the molecular properties which determine the fundamental limits of such a material's performance characteristics.","container-title":"Energy &amp; Environmental Science","DOI":"10.1039/C1EE01861B","ISSN":"1754-5692","issue":"11","journalAbbreviation":"Energy Environ. Sci.","note":"publisher: The Royal Society of Chemistry","page":"4449-4472","title":"Chemical solutions for the closed-cycle storage of solar energy","volume":"4","author":[{"family":"Kucharski","given":"Timothy J."},{"family":"Tian","given":"Yancong"},{"family":"Akbulatov","given":"Sergey"},{"family":"Boulatov","given":"Roman"}],"issued":{"date-parts":[["2011"]]}}},{"id":1194,"uris":["http://zotero.org/users/7567464/items/TM8MS74M"],"itemData":{"id":1194,"type":"article-journal","abstract":"Molecular and supramolecular-based systems and materials that can perform predetermined functions in response to light stimulation have been extensively studied in the past three decades. Their investigation continues to be a highly stimulating topic of chemical research, not only because of the inherent scientific value related to a bottom-up approach to functional nanostructures, but also for the prospective applications in diverse fields of technology and medicine. Light is an important tool in this context, as it can be conveniently used both for supplying energy to the system and for probing its states and transformations. In this microreview we recall some basic aspects of light-induced processes in (supra)molecular assemblies, and discuss their exploitation to implement novel functionalities with nanostructured devices, machines and materials. To this aim we illustrate a few examples from our own recent work, which are meant to illustrate the trends of current research in the field.","container-title":"European Journal of Inorganic Chemistry","DOI":"10.1002/ejic.201800923","ISSN":"1434-1948","issue":"42","journalAbbreviation":"European Journal of Inorganic Chemistry","note":"publisher: John Wiley &amp; Sons, Ltd","page":"4589-4603","title":"Photoactive Molecular-Based Devices, Machines and Materials: Recent Advances","volume":"2018","author":[{"family":"Baroncini","given":"Massimo"},{"family":"Canton","given":"Martina"},{"family":"Casimiro","given":"Lorenzo"},{"family":"Corra","given":"Stefano"},{"family":"Groppi","given":"Jessica"},{"family":"La Rosa","given":"Marcello"},{"family":"Silvi","given":"Serena"},{"family":"Credi","given":"Alberto"}],"issued":{"date-parts":[["2018",11,15]]}}}],"schema":"https://github.com/citation-style-language/schema/raw/master/csl-citation.json"} </w:instrText>
      </w:r>
      <w:r w:rsidR="008109DC">
        <w:fldChar w:fldCharType="separate"/>
      </w:r>
      <w:r w:rsidR="008109DC" w:rsidRPr="008109DC">
        <w:rPr>
          <w:vertAlign w:val="superscript"/>
        </w:rPr>
        <w:t>1,2</w:t>
      </w:r>
      <w:r w:rsidR="008109DC">
        <w:fldChar w:fldCharType="end"/>
      </w:r>
      <w:r>
        <w:rPr>
          <w:rFonts w:ascii="Arial Unicode MS" w:eastAsia="Arial Unicode MS" w:hAnsi="Arial Unicode MS" w:cs="Arial Unicode MS"/>
        </w:rPr>
        <w:t xml:space="preserve"> A wide range of photoactive molecular systems have been studied for this purpose, including norbornadiene−quadricyclanes,</w:t>
      </w:r>
      <w:r w:rsidR="008109DC">
        <w:rPr>
          <w:rFonts w:ascii="Arial Unicode MS" w:eastAsia="Arial Unicode MS" w:hAnsi="Arial Unicode MS" w:cs="Arial Unicode MS"/>
        </w:rPr>
        <w:fldChar w:fldCharType="begin"/>
      </w:r>
      <w:r w:rsidR="008109DC">
        <w:rPr>
          <w:rFonts w:ascii="Arial Unicode MS" w:eastAsia="Arial Unicode MS" w:hAnsi="Arial Unicode MS" w:cs="Arial Unicode MS"/>
        </w:rPr>
        <w:instrText xml:space="preserve"> ADDIN ZOTERO_ITEM CSL_CITATION {"citationID":"B58BOBDu","properties":{"formattedCitation":"\\super 3,4\\nosupersub{}","plainCitation":"3,4","noteIndex":0},"citationItems":[{"id":1134,"uris":["http://zotero.org/users/7567464/items/5UUXIDMS"],"itemData":{"id":1134,"type":"article-journal","abstract":"Abstract Due to high global energy demands, there is a great need for development of technologies for exploiting and storing solar energy. Closed cycle systems for storage of solar energy have been suggested, based on absorption of photons in photoresponsive molecules, followed by on-demand release of thermal energy. These materials are called solar thermal fuels (STFs) or molecular solar thermal (MOST) energy storage systems. To achieve high energy densities, ideal MOST systems are required either in solid or liquid forms. In the case of the latter, neat high performing liquid materials have not been demonstrated to date. Here is presented a set of neat liquid norbornadiene derivatives for MOST applications and their characterization in toluene solutions and neat samples. Their synthesis is in most cases based on solvent-free Diels-Alder reactions, which easily and efficiently afford a range of compounds. The shear viscosity of the obtained molecules is close to that of colza oil, and they can absorb up to 10% of the solar spectrum with a measured energy storage density of up to 577 kJ/kg corresponding to 152 kJ mol?1 (calculated 100 kJ mol?1). These findings pave the way towards implementation of liquid norbornadienes in closed cycle energy storage technologies.","container-title":"Advanced Energy Materials","DOI":"10.1002/aenm.201703401","ISSN":"1614-6832","issue":"18","journalAbbreviation":"Advanced Energy Materials","note":"publisher: John Wiley &amp; Sons, Ltd","page":"1703401","title":"Liquid Norbornadiene Photoswitches for Solar Energy Storage","volume":"8","author":[{"family":"Dreos","given":"Ambra"},{"family":"Wang","given":"Zhihang"},{"family":"Udmark","given":"Jonas"},{"family":"Ström","given":"Anna"},{"family":"Erhart","given":"Paul"},{"family":"Börjesson","given":"Karl"},{"family":"Nielsen","given":"Mogens Brøndsted"},{"family":"Moth-Poulsen","given":"Kasper"}],"issued":{"date-parts":[["2018",6,1]]}}},{"id":1133,"uris":["http://zotero.org/users/7567464/items/U9RR8DK9"],"itemData":{"id":1133,"type":"article-journal","abstract":"Red-shifting the absorption of norbornadienes (NBDs), into the visible region, enables the photo-isomerization of NBDs to quadricyclanes (QCs) to be driven by sunlight. This is necessary in order to utilize the NBD–QC system for molecular solar thermal (MOST) energy storage. Reported here is a study on five diaryl-substituted norbornadienes. The introduced aryl-groups induce a significant red-shift of the UV/vis absorption spectrum of the norbornadienes, and device experiments using a solar-simulator set-up demonstrate the potential use of these compounds for MOST energy storage.","container-title":"Chemical Communications","DOI":"10.1039/C3CC47517D","ISSN":"1359-7345","issue":"40","journalAbbreviation":"Chem. Commun.","note":"publisher: The Royal Society of Chemistry","page":"5330-5332","title":"Diaryl-substituted norbornadienes with red-shifted absorption for molecular solar thermal energy storage","volume":"50","author":[{"family":"Gray","given":"Victor"},{"family":"Lennartson","given":"Anders"},{"family":"Ratanalert","given":"Phasin"},{"family":"Börjesson","given":"Karl"},{"family":"Moth-Poulsen","given":"Kasper"}],"issued":{"date-parts":[["2014"]]}}}],"schema":"https://github.com/citation-style-language/schema/raw/master/csl-citation.json"} </w:instrText>
      </w:r>
      <w:r w:rsidR="008109DC">
        <w:rPr>
          <w:rFonts w:ascii="Arial Unicode MS" w:eastAsia="Arial Unicode MS" w:hAnsi="Arial Unicode MS" w:cs="Arial Unicode MS"/>
        </w:rPr>
        <w:fldChar w:fldCharType="separate"/>
      </w:r>
      <w:r w:rsidR="008109DC" w:rsidRPr="008109DC">
        <w:rPr>
          <w:rFonts w:ascii="Arial Unicode MS" w:eastAsia="Arial Unicode MS" w:hAnsi="Arial Unicode MS" w:cs="Arial Unicode MS"/>
          <w:vertAlign w:val="superscript"/>
        </w:rPr>
        <w:t>3,4</w:t>
      </w:r>
      <w:r w:rsidR="008109DC">
        <w:rPr>
          <w:rFonts w:ascii="Arial Unicode MS" w:eastAsia="Arial Unicode MS" w:hAnsi="Arial Unicode MS" w:cs="Arial Unicode MS"/>
        </w:rPr>
        <w:fldChar w:fldCharType="end"/>
      </w:r>
      <w:r>
        <w:t xml:space="preserve"> fulvalene diruthenium,</w:t>
      </w:r>
      <w:r w:rsidR="008109DC">
        <w:fldChar w:fldCharType="begin"/>
      </w:r>
      <w:r w:rsidR="008109DC">
        <w:instrText xml:space="preserve"> ADDIN ZOTERO_ITEM CSL_CITATION {"citationID":"D6j5gcf5","properties":{"formattedCitation":"\\super 5,6\\nosupersub{}","plainCitation":"5,6","noteIndex":0},"citationItems":[{"id":1137,"uris":["http://zotero.org/users/7567464/items/VPYGQQE7"],"itemData":{"id":1137,"type":"article-journal","container-title":"Journal of the American Chemical Society","DOI":"10.1021/ja9707062","ISSN":"0002-7863","issue":"29","journalAbbreviation":"J. Am. Chem. Soc.","note":"publisher: American Chemical Society","page":"6757-6773","title":"Photochemistry of (Fulvalene)tetracarbonyldiruthenium and Its Derivatives: Efficient Light Energy Storage Devices","volume":"119","author":[{"family":"Boese","given":"Roland"},{"family":"Cammack","given":"J. Kevin"},{"family":"Matzger","given":"Adam J."},{"family":"Pflug","given":"Kai"},{"family":"Tolman","given":"William B."},{"family":"Vollhardt","given":"K. Peter C."},{"family":"Weidman","given":"Timothy W."}],"issued":{"date-parts":[["1997",7,1]]}}},{"id":1136,"uris":["http://zotero.org/users/7567464/items/WNDJIZWP"],"itemData":{"id":1136,"type":"article-journal","abstract":"In a Molecular Solar–Thermal Energy Storage (MOST) system, solar energy is converted to chemical energy using a compound that undergoes reversible endothermic photoisomerization. The high-energy photoisomer can later be converted back to the parent compound and the excess energy is released as heat. One of the most studied MOST systems is based on fulvalene-tetracarbonyl-diruthenium, and this paper demonstrates, for the first time, the possibility to tune the photochemical properties of this system by positive steric hindrance working on the fulvalene unit.","container-title":"Dalton Transactions","DOI":"10.1039/C6DT01343K","ISSN":"1477-9226","issue":"21","journalAbbreviation":"Dalton Trans.","note":"publisher: The Royal Society of Chemistry","page":"8740-8744","title":"Tuning the photochemical properties of the fulvalene-tetracarbonyl-diruthenium system","volume":"45","author":[{"family":"Lennartson","given":"Anders"},{"family":"Lundin","given":"Angelica"},{"family":"Börjesson","given":"Karl"},{"family":"Gray","given":"Victor"},{"family":"Moth-Poulsen","given":"Kasper"}],"issued":{"date-parts":[["2016"]]}}}],"schema":"https://github.com/citation-style-language/schema/raw/master/csl-citation.json"} </w:instrText>
      </w:r>
      <w:r w:rsidR="008109DC">
        <w:fldChar w:fldCharType="separate"/>
      </w:r>
      <w:r w:rsidR="008109DC" w:rsidRPr="008109DC">
        <w:rPr>
          <w:vertAlign w:val="superscript"/>
        </w:rPr>
        <w:t>5,6</w:t>
      </w:r>
      <w:r w:rsidR="008109DC">
        <w:fldChar w:fldCharType="end"/>
      </w:r>
      <w:r>
        <w:t xml:space="preserve"> arylazopyrazoles,</w:t>
      </w:r>
      <w:r w:rsidR="008109DC">
        <w:fldChar w:fldCharType="begin"/>
      </w:r>
      <w:r w:rsidR="008109DC">
        <w:instrText xml:space="preserve"> ADDIN ZOTERO_ITEM CSL_CITATION {"citationID":"uc70CAPa","properties":{"formattedCitation":"\\super 7\\uc0\\u8211{}9\\nosupersub{}","plainCitation":"7–9","noteIndex":0},"citationItems":[{"id":1139,"uris":["http://zotero.org/users/7567464/items/KNYLPB2E"],"itemData":{"id":1139,"type":"article-journal","container-title":"Journal of the American Chemical Society","DOI":"10.1021/jacs.0c00374","ISSN":"0002-7863","issue":"19","journalAbbreviation":"J. Am. Chem. Soc.","note":"publisher: American Chemical Society","page":"8688-8695","title":"Arylazopyrazoles for Long-Term Thermal Energy Storage and Optically Triggered Heat Release below 0 °C","volume":"142","author":[{"family":"Gerkman","given":"Mihael A."},{"family":"Gibson","given":"Rosina S. L."},{"family":"Calbo","given":"Joaquín"},{"family":"Shi","given":"Yuran"},{"family":"Fuchter","given":"Matthew J."},{"family":"Han","given":"Grace G. D."}],"issued":{"date-parts":[["2020",5,13]]}}},{"id":1164,"uris":["http://zotero.org/users/7567464/items/7Y3X3WZP"],"itemData":{"id":1164,"type":"article-journal","container-title":"ACS Applied Materials &amp; Interfaces","DOI":"10.1021/acsami.1c05163","ISSN":"1944-8244","issue":"19","journalAbbreviation":"ACS Appl. Mater. Interfaces","note":"publisher: American Chemical Society","page":"22655-22663","title":"Arylazopyrazole-Based Dendrimer Solar Thermal Fuels: Stable Visible Light Storage and Controllable Heat Release","volume":"13","author":[{"family":"Xu","given":"Xingtang"},{"family":"Wu","given":"Bo"},{"family":"Zhang","given":"Peng"},{"family":"Xing","given":"Youmei"},{"family":"Shi","given":"Ke"},{"family":"Fang","given":"Weihua"},{"family":"Yu","given":"Haifeng"},{"family":"Wang","given":"Guojie"}],"issued":{"date-parts":[["2021",5,19]]}}},{"id":1141,"uris":["http://zotero.org/users/7567464/items/65ALW4UH"],"itemData":{"id":1141,"type":"article-journal","container-title":"JOURNAL OF THE AMERICAN CHEMICAL SOCIETY","DOI":"10.1021/jacs.2c07537","ISSN":"0002-7863","page":"19430-19436","title":"Photocontrolled Energy Storage in Azobispyrazoles with Exceptionally Large Light Penetration Depths","volume":"144","author":[{"family":"Gonzalez","given":"A"},{"family":"Odaybat","given":"M"},{"family":"Le","given":"M"},{"family":"Greenfield","given":"JL"},{"family":"White","given":"AJP"},{"family":"Li","given":"X"},{"family":"Fuchter","given":"MJ"},{"family":"Han","given":"GGD"}],"issued":{"date-parts":[["2022"]]}}}],"schema":"https://github.com/citation-style-language/schema/raw/master/csl-citation.json"} </w:instrText>
      </w:r>
      <w:r w:rsidR="008109DC">
        <w:fldChar w:fldCharType="separate"/>
      </w:r>
      <w:r w:rsidR="008109DC" w:rsidRPr="008109DC">
        <w:rPr>
          <w:vertAlign w:val="superscript"/>
        </w:rPr>
        <w:t>7–9</w:t>
      </w:r>
      <w:r w:rsidR="008109DC">
        <w:fldChar w:fldCharType="end"/>
      </w:r>
      <w:r>
        <w:t xml:space="preserve"> and azobenzenes.</w:t>
      </w:r>
      <w:r w:rsidR="008109DC">
        <w:fldChar w:fldCharType="begin"/>
      </w:r>
      <w:r w:rsidR="004D6D72">
        <w:instrText xml:space="preserve"> ADDIN ZOTERO_ITEM CSL_CITATION {"citationID":"eZt3r327","properties":{"formattedCitation":"\\super 10\\uc0\\u8211{}14\\nosupersub{}","plainCitation":"10–14","noteIndex":0},"citationItems":[{"id":1148,"uris":["http://zotero.org/users/7567464/items/9HELCEZP"],"itemData":{"id":1148,"type":"article-journal","container-title":"Nano Letters","DOI":"10.1021/nl201357n","ISSN":"1530-6984","issue":"8","journalAbbreviation":"Nano Lett.","note":"publisher: American Chemical Society","page":"3156-3162","title":"Azobenzene-Functionalized Carbon Nanotubes As High-Energy Density Solar Thermal Fuels","volume":"11","author":[{"family":"Kolpak","given":"Alexie M."},{"family":"Grossman","given":"Jeffrey C."}],"issued":{"date-parts":[["2011",8,10]]}}},{"id":1145,"uris":["http://zotero.org/users/7567464/items/PI32WEUS"],"itemData":{"id":1145,"type":"article-journal","abstract":"Large-scale utilization of solar-energy resources will require considerable advances in energy-storage technologies to meet ever-increasing global energy demands. Other than liquid fuels, existing energy-storage materials do not provide the requisite combination of high energy density, high stability, easy handling, transportability and low cost. New hybrid solar thermal fuels, composed of photoswitchable molecules on rigid, low-mass nanostructures, transcend the physical limitations of molecular solar thermal fuels by introducing local sterically constrained environments in which interactions between chromophores can be tuned. We demonstrate this principle of a hybrid solar thermal fuel using azobenzene-functionalized carbon nanotubes. We show that, on composite bundling, the amount of energy stored per azobenzene more than doubles from 58 to 120 kJ mol–1, and the material also maintains robust cyclability and stability. Our results demonstrate that solar thermal fuels composed of molecule–nanostructure hybrids can exhibit significantly enhanced energy-storage capabilities through the generation of template-enforced steric strain.","container-title":"Nature Chemistry","DOI":"10.1038/nchem.1918","ISSN":"1755-4349","issue":"5","journalAbbreviation":"Nature Chemistry","page":"441-447","title":"Templated assembly of photoswitches significantly increases the energy-storage capacity of solar thermal fuels","volume":"6","author":[{"family":"Kucharski","given":"Timothy J."},{"family":"Ferralis","given":"Nicola"},{"family":"Kolpak","given":"Alexie M."},{"family":"Zheng","given":"Jennie O."},{"family":"Nocera","given":"Daniel G."},{"family":"Grossman","given":"Jeffrey C."}],"issued":{"date-parts":[["2014",5,1]]}}},{"id":1146,"uris":["http://zotero.org/users/7567464/items/QD6HDPXV"],"itemData":{"id":1146,"type":"article-journal","container-title":"ACS Applied Materials &amp; Interfaces","DOI":"10.1021/acsami.6b15018","ISSN":"1944-8244","issue":"10","journalAbbreviation":"ACS Appl. Mater. Interfaces","note":"publisher: American Chemical Society","page":"8679-8687","title":"Molecularly Engineered Azobenzene Derivatives for High Energy Density Solid-State Solar Thermal Fuels","volume":"9","author":[{"family":"Cho","given":"Eugene N."},{"family":"Zhitomirsky","given":"David"},{"family":"Han","given":"Grace G. D."},{"family":"Liu","given":"Yun"},{"family":"Grossman","given":"Jeffrey C."}],"issued":{"date-parts":[["2017",3,15]]}}},{"id":1097,"uris":["http://zotero.org/users/7567464/items/Q8UJ5IIZ"],"itemData":{"id":1097,"type":"article-journal","container-title":"Chemistry of Materials","DOI":"10.1021/acs.chemmater.0c02708","ISSN":"0897-4756","issue":"23","journalAbbreviation":"Chem. Mater.","note":"publisher: American Chemical Society","page":"9925-9936","title":"Long-Term Solar Energy Storage under Ambient Conditions in a MOF-Based Solid–Solid Phase-Change Material","volume":"32","author":[{"family":"Griffiths","given":"Kieran"},{"family":"Halcovitch","given":"Nathan R."},{"family":"Griffin","given":"John M."}],"issued":{"date-parts":[["2020",12,8]]}}},{"id":1150,"uris":["http://zotero.org/users/7567464/items/6XT9RFIH"],"itemData":{"id":1150,"type":"article-journal","abstract":"Efficient photoswitching in the solid-state remains rare, yet is highly desirable for the design of functional solid materials. In particular, for molecular solar thermal energy storage materials high conversion to the metastable isomer is crucial to achieve high energy density. Herein, we report that 4-methoxyazobenzene (MOAB) can be occluded into the pores of a metal–organic framework Zn2(BDC)2(DABCO), where BDC = 1,4-benzenedicarboxylate and DABCO = 1,4-diazabicyclo[2.2.2]octane. The occluded MOAB guest molecules show near-quantitative E → Z photoisomerization under irradiation with 365 nm light. The energy stored within the metastable Z-MOAB molecules can be retrieved as heat during thermally-driven relaxation to the ground-state E-isomer. The energy density of the composite is 101 J g−1 and the half-life of the Z-isomer is 6 days when stored in the dark at ambient temperature.","container-title":"Chemical Science","DOI":"10.1039/D2SC00632D","ISSN":"2041-6520","issue":"10","journalAbbreviation":"Chem. Sci.","note":"publisher: The Royal Society of Chemistry","page":"3014-3019","title":"Efficient solid-state photoswitching of methoxyazobenzene in a metal–organic framework for thermal energy storage","volume":"13","author":[{"family":"Griffiths","given":"Kieran"},{"family":"Halcovitch","given":"Nathan R."},{"family":"Griffin","given":"John M."}],"issued":{"date-parts":[["2022"]]}}}],"schema":"https://github.com/citation-style-language/schema/raw/master/csl-citation.json"} </w:instrText>
      </w:r>
      <w:r w:rsidR="008109DC">
        <w:fldChar w:fldCharType="separate"/>
      </w:r>
      <w:r w:rsidR="004D6D72" w:rsidRPr="004D6D72">
        <w:rPr>
          <w:vertAlign w:val="superscript"/>
        </w:rPr>
        <w:t>10–14</w:t>
      </w:r>
      <w:r w:rsidR="008109DC">
        <w:fldChar w:fldCharType="end"/>
      </w:r>
      <w:r>
        <w:t xml:space="preserve"> Of these, </w:t>
      </w:r>
      <w:proofErr w:type="spellStart"/>
      <w:r>
        <w:t>azobenzenes</w:t>
      </w:r>
      <w:proofErr w:type="spellEnd"/>
      <w:r>
        <w:t xml:space="preserve"> have received particular attention due to their high quantum yields, high-fatigue resistance and appreciable energy separation between the ground-state </w:t>
      </w:r>
      <w:r>
        <w:rPr>
          <w:i/>
        </w:rPr>
        <w:t>E</w:t>
      </w:r>
      <w:r>
        <w:t xml:space="preserve"> and metastable </w:t>
      </w:r>
      <w:r>
        <w:rPr>
          <w:i/>
        </w:rPr>
        <w:t>Z</w:t>
      </w:r>
      <w:r>
        <w:t xml:space="preserve"> isomers.</w:t>
      </w:r>
      <w:r w:rsidR="004D6D72">
        <w:fldChar w:fldCharType="begin"/>
      </w:r>
      <w:r w:rsidR="004D6D72">
        <w:instrText xml:space="preserve"> ADDIN ZOTERO_ITEM CSL_CITATION {"citationID":"KhGRZ6u2","properties":{"formattedCitation":"\\super 15\\nosupersub{}","plainCitation":"15","noteIndex":0},"citationItems":[{"id":1144,"uris":["http://zotero.org/users/7567464/items/A34GAMK3"],"itemData":{"id":1144,"type":"article-journal","abstract":"Development of renewable energy technologies has been a significant area of research amongst scientists with the aim of attaining a sustainable world society. Solar thermal fuels that can capture, convert, store, and release solar energy in the form of heat through reversible photoisomerization of molecular photoswitches such as azobenzene derivatives are currently in the limelight of research. Herein, we provide a state-of-the-art account on the recent advancements in solar thermal fuels based on azobenzene photoswitches. We begin with an overview on the importance of azobenzene-based solar thermal fuels and their fundamentals. Then, we highlight the recent advances in diverse azobenzene materials for solar thermal fuels such as pure azobenzene derivatives, nanocarbon-templated azobenzene, and polymer-templated azobenzene. The basic design concepts of these advanced solar energy storage materials are discussed, and their promising applications are highlighted. We then introduce the recent endeavors in the molecular design of azobenzene derivatives toward efficient solar thermal fuels, and conclude with new perspectives on the future scope, opportunities and challenges. It is expected that continuous pioneering research involving scientists and engineers from diverse technological backgrounds could trigger the rapid advancement of this important interdisciplinary field, which embraces chemistry, physics, engineering, nanoscience, nanotechnology, materials science, polymer science, etc.","container-title":"Chemical Society Reviews","DOI":"10.1039/C8CS00470F","ISSN":"0306-0012","issue":"19","journalAbbreviation":"Chem. Soc. Rev.","note":"publisher: The Royal Society of Chemistry","page":"7339-7368","title":"Azobenzene-based solar thermal fuels: design, properties, and applications","volume":"47","author":[{"family":"Dong","given":"Liqi"},{"family":"Feng","given":"Yiyu"},{"family":"Wang","given":"Ling"},{"family":"Feng","given":"Wei"}],"issued":{"date-parts":[["2018"]]}}}],"schema":"https://github.com/citation-style-language/schema/raw/master/csl-citation.json"} </w:instrText>
      </w:r>
      <w:r w:rsidR="004D6D72">
        <w:fldChar w:fldCharType="separate"/>
      </w:r>
      <w:r w:rsidR="004D6D72" w:rsidRPr="004D6D72">
        <w:rPr>
          <w:vertAlign w:val="superscript"/>
        </w:rPr>
        <w:t>15</w:t>
      </w:r>
      <w:r w:rsidR="004D6D72">
        <w:fldChar w:fldCharType="end"/>
      </w:r>
      <w:r>
        <w:t xml:space="preserve"> However, in their pure solid form, the </w:t>
      </w:r>
      <w:proofErr w:type="spellStart"/>
      <w:r>
        <w:t>photoisomerisation</w:t>
      </w:r>
      <w:proofErr w:type="spellEnd"/>
      <w:r>
        <w:t xml:space="preserve"> of azobenzene derivatives</w:t>
      </w:r>
      <w:r w:rsidR="008109DC">
        <w:t xml:space="preserve"> </w:t>
      </w:r>
      <w:r w:rsidR="008109DC" w:rsidRPr="008109DC">
        <w:rPr>
          <w:highlight w:val="yellow"/>
        </w:rPr>
        <w:t xml:space="preserve">and other </w:t>
      </w:r>
      <w:proofErr w:type="spellStart"/>
      <w:r w:rsidR="008109DC" w:rsidRPr="008109DC">
        <w:rPr>
          <w:highlight w:val="yellow"/>
        </w:rPr>
        <w:t>photoswitches</w:t>
      </w:r>
      <w:proofErr w:type="spellEnd"/>
      <w:r>
        <w:t xml:space="preserve"> is often limited due to dense crystal packing. A number of strategies have been proposed to address this problem, including templating azobenzene functional groups on nanotubes</w:t>
      </w:r>
      <w:r w:rsidR="004D6D72">
        <w:fldChar w:fldCharType="begin"/>
      </w:r>
      <w:r w:rsidR="004D6D72">
        <w:instrText xml:space="preserve"> ADDIN ZOTERO_ITEM CSL_CITATION {"citationID":"EyhHXdKv","properties":{"formattedCitation":"\\super 10,11,16\\nosupersub{}","plainCitation":"10,11,16","noteIndex":0},"citationItems":[{"id":1148,"uris":["http://zotero.org/users/7567464/items/9HELCEZP"],"itemData":{"id":1148,"type":"article-journal","container-title":"Nano Letters","DOI":"10.1021/nl201357n","ISSN":"1530-6984","issue":"8","journalAbbreviation":"Nano Lett.","note":"publisher: American Chemical Society","page":"3156-3162","title":"Azobenzene-Functionalized Carbon Nanotubes As High-Energy Density Solar Thermal Fuels","volume":"11","author":[{"family":"Kolpak","given":"Alexie M."},{"family":"Grossman","given":"Jeffrey C."}],"issued":{"date-parts":[["2011",8,10]]}}},{"id":1145,"uris":["http://zotero.org/users/7567464/items/PI32WEUS"],"itemData":{"id":1145,"type":"article-journal","abstract":"Large-scale utilization of solar-energy resources will require considerable advances in energy-storage technologies to meet ever-increasing global energy demands. Other than liquid fuels, existing energy-storage materials do not provide the requisite combination of high energy density, high stability, easy handling, transportability and low cost. New hybrid solar thermal fuels, composed of photoswitchable molecules on rigid, low-mass nanostructures, transcend the physical limitations of molecular solar thermal fuels by introducing local sterically constrained environments in which interactions between chromophores can be tuned. We demonstrate this principle of a hybrid solar thermal fuel using azobenzene-functionalized carbon nanotubes. We show that, on composite bundling, the amount of energy stored per azobenzene more than doubles from 58 to 120 kJ mol–1, and the material also maintains robust cyclability and stability. Our results demonstrate that solar thermal fuels composed of molecule–nanostructure hybrids can exhibit significantly enhanced energy-storage capabilities through the generation of template-enforced steric strain.","container-title":"Nature Chemistry","DOI":"10.1038/nchem.1918","ISSN":"1755-4349","issue":"5","journalAbbreviation":"Nature Chemistry","page":"441-447","title":"Templated assembly of photoswitches significantly increases the energy-storage capacity of solar thermal fuels","volume":"6","author":[{"family":"Kucharski","given":"Timothy J."},{"family":"Ferralis","given":"Nicola"},{"family":"Kolpak","given":"Alexie M."},{"family":"Zheng","given":"Jennie O."},{"family":"Nocera","given":"Daniel G."},{"family":"Grossman","given":"Jeffrey C."}],"issued":{"date-parts":[["2014",5,1]]}}},{"id":1152,"uris":["http://zotero.org/users/7567464/items/V95Q97GD"],"itemData":{"id":1152,"type":"article-journal","abstract":"A closed-cycle system by storing and releasing solar energy without additional interchange of material is crucial for future high global energy demands. Here, we presented a solid-state molecular solar thermal fuels (STFs) composed of single-walled carbon nanotubes and azobenzene with push-pull electron structure (AZO-SWCNTs) employing the direct Friedel-crafts acylation reaction. This kind of STFs reveals the highest gravimetric energy density of 80.7 Wh kg−1 and power density of 292 W kg−1 in AZO-CNTs STFs system with extended half-lifetime and excellent photochemical cycling stability. Moreover, the high performance and closed cycle of storage and heat release of the solid-state STFs assembly film were also investigated. The STFs shows relatively a high energy storage efficiency (12.4%) and a solar energy storage efficiency (0.25%) with a maximum temperature difference of 10 °C. This kind of solid-state STFs film exhibits a great potency in high-energy and short-term solar energy thermal storage.","container-title":"Solar Energy Materials and Solar Cells","DOI":"10.1016/j.solmat.2019.01.017","ISSN":"0927-0248","journalAbbreviation":"Solar Energy Materials and Solar Cells","page":"198-205","title":"Molecular regulation of nano-structured solid-state AZO-SWCNTs assembly film for the high-energy and short-term solar thermal storage","volume":"193","author":[{"family":"Jiang","given":"Yan"},{"family":"Huang","given":"Jin"},{"family":"Feng","given":"Wei"},{"family":"Zhao","given":"Xi"},{"family":"Wang","given":"Ting"},{"family":"Li","given":"Chunhai"},{"family":"Luo","given":"Wen"}],"issued":{"date-parts":[["2019",5,1]]}}}],"schema":"https://github.com/citation-style-language/schema/raw/master/csl-citation.json"} </w:instrText>
      </w:r>
      <w:r w:rsidR="004D6D72">
        <w:fldChar w:fldCharType="separate"/>
      </w:r>
      <w:r w:rsidR="004D6D72" w:rsidRPr="004D6D72">
        <w:rPr>
          <w:vertAlign w:val="superscript"/>
        </w:rPr>
        <w:t>10,11,16</w:t>
      </w:r>
      <w:r w:rsidR="004D6D72">
        <w:fldChar w:fldCharType="end"/>
      </w:r>
      <w:r>
        <w:t xml:space="preserve"> and graphene,</w:t>
      </w:r>
      <w:r w:rsidR="004D6D72">
        <w:fldChar w:fldCharType="begin"/>
      </w:r>
      <w:r w:rsidR="004D6D72">
        <w:instrText xml:space="preserve"> ADDIN ZOTERO_ITEM CSL_CITATION {"citationID":"YlgWADH4","properties":{"formattedCitation":"\\super 17\\uc0\\u8211{}19\\nosupersub{}","plainCitation":"17–19","noteIndex":0},"citationItems":[{"id":1153,"uris":["http://zotero.org/users/7567464/items/3M68DJKD"],"itemData":{"id":1153,"type":"article-journal","abstract":"Reduced graphene oxide-azobenzene (RGO-AZO) hybrids were prepared via covalent functionalization for long-term solar thermal storage. Thermal barrier (ΔEa) of cis to tran reversion and thermal storage (ΔH) were improved by molecular hydrogen bonds (H-bonds) through ortho- or para-substitution of AZO. Intramolecular H-bonds thermally stabilized cis-ortho-AZO on RGO with a long-term half-life of 5400 h (ΔEa = 1.2 eV), which was much longer than that of RGO-para-AZO (116 h). RGO-para-AZO with one intermolecular H-bond showed a high density of thermal storage up to 269.8 kJ kg−1 compared with RGO-ortho-AZO (149.6 kJ kg−1) with multiple intra- and intermolecular H-bonds of AZO according to relaxed stable structures. Thermal storage in experiment was the same order magnitude to theoretical data based on ΔH calculated by density functional theory and packing density. Photoactive RGO-AZO hybrid can be developed for high-performance solar thermal storage by optimizing molecular H-bonds.","container-title":"Scientific Reports","DOI":"10.1038/srep03260","ISSN":"2045-2322","issue":"1","journalAbbreviation":"Scientific Reports","page":"3260","title":"Covalent functionalization of graphene by azobenzene with molecular hydrogen bonds for long-term solar thermal storage","volume":"3","author":[{"family":"Feng","given":"Yiyu"},{"family":"Liu","given":"Hongpo"},{"family":"Luo","given":"Wen"},{"family":"Liu","given":"Enzuo"},{"family":"Zhao","given":"Naiqin"},{"family":"Yoshino","given":"Katsumi"},{"family":"Feng","given":"Wei"}],"issued":{"date-parts":[["2013",11,19]]}}},{"id":1154,"uris":["http://zotero.org/users/7567464/items/G3XXRL3E"],"itemData":{"id":1154,"type":"article-journal","abstract":"Designing an energy-dense and thermal-stable photo-isomerizable chromophore/hybrid template is a challenge for devising a highly customizable solar-heat conversion and storage technology. This study presents the templated assembly of close-packed 2-chloro-4,6-bis(4-(phenyldiazenyl)phenoxy)-1,3,5-triazine (bis-azobenzene chromophores) covalently bound to reduced graphene oxide (RGO-bis-Azo). The steric configuration and energy of bis-Azo (trans- and cis-isomers), calculated by density functional theory, are influenced by intra- and inter-molecular steric hindrance due to high grafting density and the bundling effect. This results in a dramatic increase in enthalpy and activation energy of the isomerization. The RGO-bis-Azo hybrid combines a high energy density of 80 W h kg−1, the maximum power density of 2230 W kg−1 and a tunable heat release time from 2 min to 5520 h. These findings pave the way for developing a chromophore/hybrid template for solar thermal fuel by optimizing molecular interaction.","container-title":"Journal of Materials Chemistry A","DOI":"10.1039/C6TA00221H","ISSN":"2050-7488","issue":"21","journalAbbreviation":"J. Mater. Chem. A","note":"publisher: The Royal Society of Chemistry","page":"8020-8028","title":"An energy-dense and thermal-stable bis-azobenzene/hybrid templated assembly for solar thermal fuel","volume":"4","author":[{"family":"Feng","given":"Wei"},{"family":"Li","given":"Shipei"},{"family":"Li","given":"Man"},{"family":"Qin","given":"Chengqun"},{"family":"Feng","given":"Yiyu"}],"issued":{"date-parts":[["2016"]]}}},{"id":1155,"uris":["http://zotero.org/users/7567464/items/F7SYKAVV"],"itemData":{"id":1155,"type":"article-journal","abstract":"Abstract A closed-cycle system for light-harvesting, storage, and heat release is important for utilizing and managing renewable energy. However, combining a high-energy, stable photochromic material with a controllable trigger for solid-state heat release remains a great challenge for developing photothermal fuels (PTFs). This paper presents a uniform PTF film fabricated by the assembly of close-packed bisazobenzene (bisAzo) grafted onto reduced graphene oxide (rGO). The assembled rGO?bisAzo template exhibited a high energy density of 131?Wh?kg?1 and a long half-life of 37?days owing to inter- or intramolecular H-bonding and steric hindrance. The rGO?bisAzo PTF film released and accumulated heat to realize a maximum temperature difference (DT) of 15?°C and a DT of over 10?°C for 30?min when the temperature difference of the environment was greater than100?°C. Controlling heat release in the solid-state assembly paves the way to develop highly efficient and high-energy PTFs for a multitude of applications.","container-title":"ChemSusChem","DOI":"10.1002/cssc.201601551","ISSN":"1864-5631","issue":"7","journalAbbreviation":"ChemSusChem","note":"publisher: John Wiley &amp; Sons, Ltd","page":"1395-1404","title":"Controlling Heat Release from a Close-Packed Bisazobenzene–Reduced-Graphene-Oxide Assembly Film for High-Energy Solid-State Photothermal Fuels","volume":"10","author":[{"family":"Zhao","given":"Xiaoze"},{"family":"Feng","given":"Yiyu"},{"family":"Qin","given":"Chengqun"},{"family":"Yang","given":"Weixiang"},{"family":"Si","given":"Qianyu"},{"family":"Feng","given":"Wei"}],"issued":{"date-parts":[["2017",4,10]]}}}],"schema":"https://github.com/citation-style-language/schema/raw/master/csl-citation.json"} </w:instrText>
      </w:r>
      <w:r w:rsidR="004D6D72">
        <w:fldChar w:fldCharType="separate"/>
      </w:r>
      <w:r w:rsidR="004D6D72" w:rsidRPr="004D6D72">
        <w:rPr>
          <w:vertAlign w:val="superscript"/>
        </w:rPr>
        <w:t>17–19</w:t>
      </w:r>
      <w:r w:rsidR="004D6D72">
        <w:fldChar w:fldCharType="end"/>
      </w:r>
      <w:r>
        <w:t xml:space="preserve"> </w:t>
      </w:r>
      <w:r w:rsidR="008109DC" w:rsidRPr="008109DC">
        <w:rPr>
          <w:highlight w:val="yellow"/>
        </w:rPr>
        <w:t>incorporation into frameworks,</w:t>
      </w:r>
      <w:r w:rsidR="004D6D72">
        <w:rPr>
          <w:highlight w:val="yellow"/>
        </w:rPr>
        <w:fldChar w:fldCharType="begin"/>
      </w:r>
      <w:r w:rsidR="004D6D72">
        <w:rPr>
          <w:highlight w:val="yellow"/>
        </w:rPr>
        <w:instrText xml:space="preserve"> ADDIN ZOTERO_ITEM CSL_CITATION {"citationID":"xTbA3fKM","properties":{"formattedCitation":"\\super 13,14,20\\nosupersub{}","plainCitation":"13,14,20","noteIndex":0},"citationItems":[{"id":1097,"uris":["http://zotero.org/users/7567464/items/Q8UJ5IIZ"],"itemData":{"id":1097,"type":"article-journal","container-title":"Chemistry of Materials","DOI":"10.1021/acs.chemmater.0c02708","ISSN":"0897-4756","issue":"23","journalAbbreviation":"Chem. Mater.","note":"publisher: American Chemical Society","page":"9925-9936","title":"Long-Term Solar Energy Storage under Ambient Conditions in a MOF-Based Solid–Solid Phase-Change Material","volume":"32","author":[{"family":"Griffiths","given":"Kieran"},{"family":"Halcovitch","given":"Nathan R."},{"family":"Griffin","given":"John M."}],"issued":{"date-parts":[["2020",12,8]]}}},{"id":1150,"uris":["http://zotero.org/users/7567464/items/6XT9RFIH"],"itemData":{"id":1150,"type":"article-journal","abstract":"Efficient photoswitching in the solid-state remains rare, yet is highly desirable for the design of functional solid materials. In particular, for molecular solar thermal energy storage materials high conversion to the metastable isomer is crucial to achieve high energy density. Herein, we report that 4-methoxyazobenzene (MOAB) can be occluded into the pores of a metal–organic framework Zn2(BDC)2(DABCO), where BDC = 1,4-benzenedicarboxylate and DABCO = 1,4-diazabicyclo[2.2.2]octane. The occluded MOAB guest molecules show near-quantitative E → Z photoisomerization under irradiation with 365 nm light. The energy stored within the metastable Z-MOAB molecules can be retrieved as heat during thermally-driven relaxation to the ground-state E-isomer. The energy density of the composite is 101 J g−1 and the half-life of the Z-isomer is 6 days when stored in the dark at ambient temperature.","container-title":"Chemical Science","DOI":"10.1039/D2SC00632D","ISSN":"2041-6520","issue":"10","journalAbbreviation":"Chem. Sci.","note":"publisher: The Royal Society of Chemistry","page":"3014-3019","title":"Efficient solid-state photoswitching of methoxyazobenzene in a metal–organic framework for thermal energy storage","volume":"13","author":[{"family":"Griffiths","given":"Kieran"},{"family":"Halcovitch","given":"Nathan R."},{"family":"Griffin","given":"John M."}],"issued":{"date-parts":[["2022"]]}}},{"id":1192,"uris":["http://zotero.org/users/7567464/items/LG959WVR"],"itemData":{"id":1192,"type":"article-journal","abstract":"Abstract Using an external stimulus to modulate the electronic structure of covalent organic frameworks (COFs) is very important because such a response will endow them with additional functions. A two-dimensional (2D) COF, constructed from a photo-responsive unit (1,2-bis(5-formyl-2-methylthien-3-yl)cyclopentene), can reversibly switch its electrical conductivity 200 times from low state (the open form) to high state (the closed form) upon irradiation with UV light and reversible with visible light. This reversible phenomenon can be monitored through a circuit containing a light-emitting diode (LED). Photoinduced ring-closing/opening reactions do not destroy the integrity of the frameworks, and both processes follow logarithmic carrier generation with time. Moreover, the correlation between COFs electronic properties and changes in photoinduced kinetics and absorption curves has been demonstrated.","container-title":"Angewandte Chemie International Edition","DOI":"10.1002/anie.201909613","ISSN":"1433-7851","issue":"45","journalAbbreviation":"Angewandte Chemie International Edition","note":"publisher: John Wiley &amp; Sons, Ltd","page":"16101-16104","title":"Photostimulus-Responsive Large-Area Two-Dimensional Covalent Organic Framework Films","volume":"58","author":[{"family":"Yu","given":"Fei"},{"family":"Liu","given":"Wenbo"},{"family":"Li","given":"Bang"},{"family":"Tian","given":"Dan"},{"family":"Zuo","given":"Jing-Lin"},{"family":"Zhang","given":"Qichun"}],"issued":{"date-parts":[["2019",11,4]]}}}],"schema":"https://github.com/citation-style-language/schema/raw/master/csl-citation.json"} </w:instrText>
      </w:r>
      <w:r w:rsidR="004D6D72">
        <w:rPr>
          <w:highlight w:val="yellow"/>
        </w:rPr>
        <w:fldChar w:fldCharType="separate"/>
      </w:r>
      <w:r w:rsidR="004D6D72" w:rsidRPr="004D6D72">
        <w:rPr>
          <w:vertAlign w:val="superscript"/>
        </w:rPr>
        <w:t>13,14,20</w:t>
      </w:r>
      <w:r w:rsidR="004D6D72">
        <w:rPr>
          <w:highlight w:val="yellow"/>
        </w:rPr>
        <w:fldChar w:fldCharType="end"/>
      </w:r>
      <w:r w:rsidR="008109DC">
        <w:t xml:space="preserve"> </w:t>
      </w:r>
      <w:r>
        <w:t>and the introduction of bulky functional groups to increase the free volume and prevent crystallisation at ambient temperature.</w:t>
      </w:r>
      <w:r w:rsidR="004D6D72">
        <w:fldChar w:fldCharType="begin"/>
      </w:r>
      <w:r w:rsidR="004D6D72">
        <w:instrText xml:space="preserve"> ADDIN ZOTERO_ITEM CSL_CITATION {"citationID":"bdH5CReq","properties":{"formattedCitation":"\\super 12,21\\nosupersub{}","plainCitation":"12,21","noteIndex":0},"citationItems":[{"id":1146,"uris":["http://zotero.org/users/7567464/items/QD6HDPXV"],"itemData":{"id":1146,"type":"article-journal","container-title":"ACS Applied Materials &amp; Interfaces","DOI":"10.1021/acsami.6b15018","ISSN":"1944-8244","issue":"10","journalAbbreviation":"ACS Appl. Mater. Interfaces","note":"publisher: American Chemical Society","page":"8679-8687","title":"Molecularly Engineered Azobenzene Derivatives for High Energy Density Solid-State Solar Thermal Fuels","volume":"9","author":[{"family":"Cho","given":"Eugene N."},{"family":"Zhitomirsky","given":"David"},{"family":"Han","given":"Grace G. D."},{"family":"Liu","given":"Yun"},{"family":"Grossman","given":"Jeffrey C."}],"issued":{"date-parts":[["2017",3,15]]}}},{"id":1158,"uris":["http://zotero.org/users/7567464/items/AVQJ3BLA"],"itemData":{"id":1158,"type":"article-journal","abstract":"A liquid solar thermal fuel is developed; a low-molecular weight liquid trans-azobenzene derivative shows facile photoisomerization to the higher-energy cis-isomer in neat condition so that a high volumetric energy density is achieved. Shear viscosity measurements for each isomer liquid unveiled transitions from non-Newtonian to Newtonian fluids.","container-title":"Chemical Communications","DOI":"10.1039/C4CC07713J","ISSN":"1359-7345","issue":"99","journalAbbreviation":"Chem. Commun.","note":"publisher: The Royal Society of Chemistry","page":"15803-15806","title":"A liquid azobenzene derivative as a solvent-free solar thermal fuel","volume":"50","author":[{"family":"Masutani","given":"Kouta"},{"family":"Morikawa","given":"Masa-aki"},{"family":"Kimizuka","given":"Nobuo"}],"issued":{"date-parts":[["2014"]]}}}],"schema":"https://github.com/citation-style-language/schema/raw/master/csl-citation.json"} </w:instrText>
      </w:r>
      <w:r w:rsidR="004D6D72">
        <w:fldChar w:fldCharType="separate"/>
      </w:r>
      <w:r w:rsidR="004D6D72" w:rsidRPr="004D6D72">
        <w:rPr>
          <w:vertAlign w:val="superscript"/>
        </w:rPr>
        <w:t>12,21</w:t>
      </w:r>
      <w:r w:rsidR="004D6D72">
        <w:fldChar w:fldCharType="end"/>
      </w:r>
      <w:r>
        <w:t xml:space="preserve"> Another promising method is the attachment of azobenzene functional groups to polymers.</w:t>
      </w:r>
      <w:r w:rsidR="004D6D72">
        <w:fldChar w:fldCharType="begin"/>
      </w:r>
      <w:r w:rsidR="00D05EDA">
        <w:instrText xml:space="preserve"> ADDIN ZOTERO_ITEM CSL_CITATION {"citationID":"Hfjhw7f6","properties":{"formattedCitation":"\\super 22\\uc0\\u8211{}25\\nosupersub{}","plainCitation":"22–25","noteIndex":0},"citationItems":[{"id":1160,"uris":["http://zotero.org/users/7567464/items/7APA97NB"],"itemData":{"id":1160,"type":"article-journal","abstract":"Amphiphilic polymers are well known for their characteristics to form various self-assembling structures under proper conditions. Amphiphilic azo polymers, which are amphiphilic polymers functionalized with aromatic azo moieties, can combine wealthy photoresponsive properties with the self-assembling feature. In recent years, a wide variety of amphiphilic azo polymers have been developed through different molecular design strategies and synthetic routes. This article reviews the background, recent development, current approaches, and outlook of this rapidly developing research area. The emphasis is placed on the synthesis, self-assembly, and photoresponsive properties of amphiphilic azo polymers. According to the molecular architecture, the amphiphilic azo polymers are classified as homopolymers, random copolymers, block copolymers, star-like and dendritic polymers. The polymers show strong tendency to form well-organized structures at surfaces or interfaces, in solutions or dispersion mediums, and through phase-separation in solid thin-films. Colloidal arrays and porous thin films of amphiphilic azo polymers can be obtained through the vertical deposition method and solvent-induced structure inversion. The amphiphilic azo polymers and their self-assembled structures exhibit a variety of photoresponsive properties triggered by the trans–cis photoisomerization of azo chromophores. Some interesting variations caused by the light irradiation, such as the surface wettability change, surface-relief-grating formation, domain orientation, colloid deformation, micelle dissociation, vesicle bursting and fusion, are described in this review in detail. Such properties are promising for applications in areas such as optical devices, sensors, and drug delivery.","container-title":"Topical Issue on Polymeric Self-Assembly","DOI":"10.1016/j.progpolymsci.2012.07.003","ISSN":"0079-6700","issue":"2","journalAbbreviation":"Progress in Polymer Science","page":"271-301","title":"Amphiphilic azo polymers: Molecular engineering, self-assembly and photoresponsive properties","volume":"38","author":[{"family":"Wang","given":"Dongrui"},{"family":"Wang","given":"Xiaogong"}],"issued":{"date-parts":[["2013",2,1]]}}},{"id":1128,"uris":["http://zotero.org/users/7567464/items/BYZAXJBF"],"itemData":{"id":1128,"type":"article-journal","abstract":"The development of polymers with switchable glass transition temperatures (Tg) can address scientific challenges such as the healing of cracks in high-Tg polymers and the processing of hard polymers at room temperature without using plasticizing solvents. Here, we demonstrate that light can switch the Tg of azobenzene-containing polymers (azopolymers) and induce reversible solid-to-liquid transitions of the polymers. The azobenzene groups in the polymers exhibit reversible cis–trans photoisomerization abilities. Trans azopolymers are solids with Tg above room temperature, whereas cis azopolymers are liquids with Tg below room temperature. Because of the photoinduced solid-to-liquid transitions of these polymers, light can reduce the surface roughness of azopolymer films by almost 600%, repeatedly heal cracks in azopolymers, and control the adhesion of azopolymers for transfer printing. The photoswitching of Tg provides a new strategy for designing healable polymers with high Tg and allows for control over the mechanical properties of polymers with high spatiotemporal resolution.","container-title":"Nature Chemistry","DOI":"10.1038/nchem.2625","ISSN":"1755-4349","issue":"2","journalAbbreviation":"Nature Chemistry","page":"145-151","title":"Photoswitching of glass transition temperatures of azobenzene-containing polymers induces reversible solid-to-liquid transitions","volume":"9","author":[{"family":"Zhou","given":"Hongwei"},{"family":"Xue","given":"Changguo"},{"family":"Weis","given":"Philipp"},{"family":"Suzuki","given":"Yasuhito"},{"family":"Huang","given":"Shilin"},{"family":"Koynov","given":"Kaloian"},{"family":"Auernhammer","given":"Günter K."},{"family":"Berger","given":"Rüdiger"},{"family":"Butt","given":"Hans-Jürgen"},{"family":"Wu","given":"Si"}],"issued":{"date-parts":[["2017",2,1]]}}},{"id":1159,"uris":["http://zotero.org/users/7567464/items/IYYFJJY6"],"itemData":{"id":1159,"type":"article-journal","abstract":"Azobenzene is a switchable compound that exhibits reversible trans–cis photoisomerization. Photoresponsive polymers have been prepared by incorporating azobenzene groups into polymers. Most of the reported azobenzene-containing polymers (azopolymers) have only one azobenzene group in the repeat unit of the polymers (mono-azopolymers). To improve photoresponsiveness, multi-azobenzene groups have been covalently or non-covalently introduced into the repeat units of azopolymers (multi-azopolymers). In this Perspective, we introduce photoresponsive multi-azopolymers. We summarize the preparation of such polymers and highlight their potential applications in photoactuation, photo-patterning, and photoinduced birefringence. The innovative potential, open questions, and remaining challenges in this field are also discussed.","container-title":"Polymer Chemistry","DOI":"10.1039/C9PY00793H","ISSN":"1759-9954","issue":"32","journalAbbreviation":"Polym. Chem.","note":"publisher: The Royal Society of Chemistry","page":"4389-4401","title":"Photoresponsive polymers with multi-azobenzene groups","volume":"10","author":[{"family":"Sun","given":"Shaodong"},{"family":"Liang","given":"Shuofeng"},{"family":"Xu","given":"Wen-Cong"},{"family":"Xu","given":"Guofeng"},{"family":"Wu","given":"Si"}],"issued":{"date-parts":[["2019"]]}}},{"id":1186,"uris":["http://zotero.org/users/7567464/items/ERPJ57VY"],"itemData":{"id":1186,"type":"article-journal","abstract":"Abstract Photoswitchable compounds are promising materials for solar-thermal energy conversion and storage. In particular, photoresponsive azobenzene-containing compounds are proposed as materials for solar-thermal fuels. In this feature article, solar-thermal fuels based on azobenzene-containing polymers (azopolymers) are reviewed. The mechanism of azopolymer-based solar-thermal fuels is introduced, and computer simulations and experimental results on azopolymer-based solar-thermal fuels are highlighted. Different types of azopolymers such as linear azopolymers, 2D azopolymers, and conjugated azopolymers are addressed. The advantages and limitations of these azopolymers for solar-thermal energy conversion and storage, along with the remaining challenges of azopolymer-based solar-thermal fuels, are discussed.","container-title":"Macromolecular Rapid Communications","DOI":"10.1002/marc.201900413","ISSN":"1022-1336","issue":"1","journalAbbreviation":"Macromolecular Rapid Communications","note":"publisher: John Wiley &amp; Sons, Ltd","page":"1900413","title":"Solar-Thermal Energy Conversion and Storage Using Photoresponsive Azobenzene-Containing Polymers","volume":"41","author":[{"family":"Wu","given":"Si"},{"family":"Butt","given":"Hans-Jürgen"}],"issued":{"date-parts":[["2020",1,1]]}}}],"schema":"https://github.com/citation-style-language/schema/raw/master/csl-citation.json"} </w:instrText>
      </w:r>
      <w:r w:rsidR="004D6D72">
        <w:fldChar w:fldCharType="separate"/>
      </w:r>
      <w:r w:rsidR="00D05EDA" w:rsidRPr="00D05EDA">
        <w:rPr>
          <w:vertAlign w:val="superscript"/>
        </w:rPr>
        <w:t>22–25</w:t>
      </w:r>
      <w:r w:rsidR="004D6D72">
        <w:fldChar w:fldCharType="end"/>
      </w:r>
      <w:r>
        <w:t xml:space="preserve"> This approach can offer access to </w:t>
      </w:r>
      <w:proofErr w:type="spellStart"/>
      <w:r>
        <w:t>photoswitchable</w:t>
      </w:r>
      <w:proofErr w:type="spellEnd"/>
      <w:r>
        <w:t xml:space="preserve"> solid state materials with greater processability for coatings and devices, while retaining comparatively high densities of photoactive groups and therefore high energy densities. </w:t>
      </w:r>
    </w:p>
    <w:p w14:paraId="6777F99B" w14:textId="7ECBE0D8" w:rsidR="00380B92" w:rsidRDefault="00000000">
      <w:pPr>
        <w:spacing w:after="160" w:line="480" w:lineRule="auto"/>
        <w:ind w:firstLine="720"/>
        <w:jc w:val="both"/>
      </w:pPr>
      <w:r>
        <w:t xml:space="preserve">In a proof-of-concept study, </w:t>
      </w:r>
      <w:proofErr w:type="spellStart"/>
      <w:r>
        <w:t>Zhitomirsky</w:t>
      </w:r>
      <w:proofErr w:type="spellEnd"/>
      <w:r>
        <w:t xml:space="preserve"> </w:t>
      </w:r>
      <w:r>
        <w:rPr>
          <w:i/>
        </w:rPr>
        <w:t>et al</w:t>
      </w:r>
      <w:r>
        <w:t xml:space="preserve">. demonstrated that a simple methacrylate polymer with azobenzene </w:t>
      </w:r>
      <w:proofErr w:type="spellStart"/>
      <w:r>
        <w:t>sidegroups</w:t>
      </w:r>
      <w:proofErr w:type="spellEnd"/>
      <w:r>
        <w:t xml:space="preserve"> can store and release up to 104 J g</w:t>
      </w:r>
      <w:r>
        <w:rPr>
          <w:vertAlign w:val="superscript"/>
        </w:rPr>
        <w:t>–1</w:t>
      </w:r>
      <w:r>
        <w:t>.</w:t>
      </w:r>
      <w:r w:rsidR="00791212">
        <w:fldChar w:fldCharType="begin"/>
      </w:r>
      <w:r w:rsidR="00D05EDA">
        <w:instrText xml:space="preserve"> ADDIN ZOTERO_ITEM CSL_CITATION {"citationID":"NDByXTFd","properties":{"formattedCitation":"\\super 26\\nosupersub{}","plainCitation":"26","noteIndex":0},"citationItems":[{"id":1129,"uris":["http://zotero.org/users/7567464/items/LQMSLSTB"],"itemData":{"id":1129,"type":"article-journal","abstract":"Closed cycle systems offer an opportunity for solar energy harvesting and storage all within the same material. Photon energy is stored within the chemical conformations of molecules and is retrieved by a triggered release in the form of heat. Until now, such solar thermal fuels (STFs) have been largely unavailable in the solid-state, which would enable them to be utilized for a multitude of applications. A polymer STF storage platform is synthesized employing STFs in the solid-state. This approach enables uniform films capable of appreciable heat storage of up to 30 Wh kg?1 and that can withstand temperature of up to 180 °C. For the first time a macroscopic energy release is demonstrated using spatial infrared heat maps with up to a 10 °C temperature change. These findings pave the way for developing highly efficient and high energy density STFs for applications in the solid-state.","container-title":"Advanced Energy Materials","DOI":"10.1002/aenm.201502006","ISSN":"1614-6832","issue":"6","journalAbbreviation":"Advanced Energy Materials","note":"publisher: John Wiley &amp; Sons, Ltd","page":"1502006","title":"Solid-State Solar Thermal Fuels for Heat Release Applications","volume":"6","author":[{"family":"Zhitomirsky","given":"David"},{"family":"Cho","given":"Eugene"},{"family":"Grossman","given":"Jeffrey C."}],"issued":{"date-parts":[["2016",3,1]]}}}],"schema":"https://github.com/citation-style-language/schema/raw/master/csl-citation.json"} </w:instrText>
      </w:r>
      <w:r w:rsidR="00791212">
        <w:fldChar w:fldCharType="separate"/>
      </w:r>
      <w:r w:rsidR="00D05EDA" w:rsidRPr="00D05EDA">
        <w:rPr>
          <w:vertAlign w:val="superscript"/>
        </w:rPr>
        <w:t>26</w:t>
      </w:r>
      <w:r w:rsidR="00791212">
        <w:fldChar w:fldCharType="end"/>
      </w:r>
      <w:r>
        <w:t xml:space="preserve"> The polymer was shown to be solution processable into a uniform film coating for which a thermally-triggered macroscopic energy release was demonstrated, resulting in a 10 °C temperature increase compared to an unirradiated film. However, to date, there has been limited fundamental insight </w:t>
      </w:r>
      <w:r>
        <w:lastRenderedPageBreak/>
        <w:t xml:space="preserve">into the mechanisms of photothermal energy storage in azobenzene-based polymers or the dominant factors in controlling the energy densities. In addition to spatial and steric considerations for allowing photoconversion between isomers, the degree of photoconversion to the metastable state is also a key factor. For azobenzene, overlap of the π–π* absorption bands for the </w:t>
      </w:r>
      <w:r>
        <w:rPr>
          <w:i/>
        </w:rPr>
        <w:t>E</w:t>
      </w:r>
      <w:r>
        <w:t xml:space="preserve"> and </w:t>
      </w:r>
      <w:r>
        <w:rPr>
          <w:i/>
        </w:rPr>
        <w:t>Z</w:t>
      </w:r>
      <w:r>
        <w:t xml:space="preserve"> isomers means that the </w:t>
      </w:r>
      <w:proofErr w:type="spellStart"/>
      <w:r>
        <w:t>photostationary</w:t>
      </w:r>
      <w:proofErr w:type="spellEnd"/>
      <w:r>
        <w:t xml:space="preserve"> state (PSS) is limited to approximately 78% under 365 nm irradiation.</w:t>
      </w:r>
      <w:r w:rsidR="00791212">
        <w:fldChar w:fldCharType="begin"/>
      </w:r>
      <w:r w:rsidR="00D05EDA">
        <w:instrText xml:space="preserve"> ADDIN ZOTERO_ITEM CSL_CITATION {"citationID":"luln0Jte","properties":{"formattedCitation":"\\super 27\\nosupersub{}","plainCitation":"27","noteIndex":0},"citationItems":[{"id":1157,"uris":["http://zotero.org/users/7567464/items/MLYAIFV7"],"itemData":{"id":1157,"type":"article-journal","abstract":"Azobenzene undergoes trans → cisisomerization when irradiated with light tuned to an appropriate wavelength. The reverse cis →transisomerization can be driven by light or occurs thermally in the dark. Azobenzene's photochromatic properties make it an ideal component of numerous molecular devices and functional materials. Despite the abundance of application-driven research, azobenzene photochemistry and the isomerization mechanism remain topics of investigation. Additional substituents on the azobenzene ring system change the spectroscopic properties and isomerization mechanism. This critical review details the studies completed to date on the 3 main classes of azobenzene derivatives. Understanding the differences in photochemistry, which originate from substitution, is imperative in exploiting azobenzene in the desired applications.","container-title":"Chemical Society Reviews","DOI":"10.1039/C1CS15179G","ISSN":"0306-0012","issue":"5","journalAbbreviation":"Chem. Soc. Rev.","note":"publisher: The Royal Society of Chemistry","page":"1809-1825","title":"Photoisomerization in different classes of azobenzene","volume":"41","author":[{"family":"Bandara","given":"H. M. Dhammika"},{"family":"Burdette","given":"Shawn C."}],"issued":{"date-parts":[["2012"]]}}}],"schema":"https://github.com/citation-style-language/schema/raw/master/csl-citation.json"} </w:instrText>
      </w:r>
      <w:r w:rsidR="00791212">
        <w:fldChar w:fldCharType="separate"/>
      </w:r>
      <w:r w:rsidR="00D05EDA" w:rsidRPr="00D05EDA">
        <w:rPr>
          <w:vertAlign w:val="superscript"/>
        </w:rPr>
        <w:t>27</w:t>
      </w:r>
      <w:r w:rsidR="00791212">
        <w:fldChar w:fldCharType="end"/>
      </w:r>
      <w:r>
        <w:t xml:space="preserve"> One way to increase the intrinsic PSS is to incorporate functional groups which alter the electronic structure to increase the absorption band separation for the </w:t>
      </w:r>
      <w:r>
        <w:rPr>
          <w:i/>
        </w:rPr>
        <w:t>E</w:t>
      </w:r>
      <w:r>
        <w:t xml:space="preserve"> and </w:t>
      </w:r>
      <w:r>
        <w:rPr>
          <w:i/>
        </w:rPr>
        <w:t>Z</w:t>
      </w:r>
      <w:r>
        <w:t xml:space="preserve"> isomers. This has been demonstrated for </w:t>
      </w:r>
      <w:r>
        <w:rPr>
          <w:i/>
        </w:rPr>
        <w:t>ortho</w:t>
      </w:r>
      <w:r>
        <w:t xml:space="preserve">-functionalised azobenzene derivatives for which the n-π* absorption bands are well separated for the </w:t>
      </w:r>
      <w:r>
        <w:rPr>
          <w:i/>
        </w:rPr>
        <w:t>E</w:t>
      </w:r>
      <w:r>
        <w:t xml:space="preserve"> and </w:t>
      </w:r>
      <w:r>
        <w:rPr>
          <w:i/>
        </w:rPr>
        <w:t>Z</w:t>
      </w:r>
      <w:r>
        <w:t xml:space="preserve"> isomers, leading to quantitative </w:t>
      </w:r>
      <w:proofErr w:type="spellStart"/>
      <w:r>
        <w:t>photoisomerisation</w:t>
      </w:r>
      <w:proofErr w:type="spellEnd"/>
      <w:r>
        <w:t xml:space="preserve"> at visible wavelengths.</w:t>
      </w:r>
      <w:r w:rsidR="00791212">
        <w:fldChar w:fldCharType="begin"/>
      </w:r>
      <w:r w:rsidR="00D05EDA">
        <w:instrText xml:space="preserve"> ADDIN ZOTERO_ITEM CSL_CITATION {"citationID":"ys0zPLEW","properties":{"formattedCitation":"\\super 28\\uc0\\u8211{}30\\nosupersub{}","plainCitation":"28–30","noteIndex":0},"citationItems":[{"id":1161,"uris":["http://zotero.org/users/7567464/items/QCXG7LTP"],"itemData":{"id":1161,"type":"article-journal","container-title":"Journal of the American Chemical Society","DOI":"10.1021/ja310323y","ISSN":"0002-7863","issue":"51","journalAbbreviation":"J. Am. Chem. Soc.","note":"publisher: American Chemical Society","page":"20597-20600","title":"o-Fluoroazobenzenes as Readily Synthesized Photoswitches Offering Nearly Quantitative Two-Way Isomerization with Visible Light","volume":"134","author":[{"family":"Bléger","given":"David"},{"family":"Schwarz","given":"Jutta"},{"family":"Brouwer","given":"Albert M."},{"family":"Hecht","given":"Stefan"}],"issued":{"date-parts":[["2012",12,26]]}}},{"id":1172,"uris":["http://zotero.org/users/7567464/items/ZAIBYHMZ"],"itemData":{"id":1172,"type":"article-journal","container-title":"Journal of the American Chemical Society","DOI":"10.1021/ja209239m","ISSN":"0002-7863","issue":"49","journalAbbreviation":"J. Am. Chem. Soc.","note":"publisher: American Chemical Society","page":"19684-19687","title":"Azobenzene Photoswitching without Ultraviolet Light","volume":"133","author":[{"family":"Beharry","given":"Andrew A."},{"family":"Sadovski","given":"Oleg"},{"family":"Woolley","given":"G. Andrew"}],"issued":{"date-parts":[["2011",12,14]]}}},{"id":1174,"uris":["http://zotero.org/users/7567464/items/BPVWY63J"],"itemData":{"id":1174,"type":"article-journal","abstract":"Efficient molecular switching in confined spaces is critical for the successful development of artificial molecular machines. However, molecular switching events often entail large structural changes and therefore require conformational freedom, which is typically limited under confinement conditions. Here, we investigated the behavior of azobenzene?the key building block of light-controlled molecular machines?in a confined environment that is flexible and can adapt its shape to that of the bound guest. To this end, we encapsulated several structurally diverse azobenzenes within the cavity of a flexible, water-soluble coordination cage, and investigated their light-responsive behavior. Using UV/Vis absorption spectroscopy and a combination of NMR methods, we showed that each of the encapsulated azobenzenes exhibited distinct switching properties. An azobenzene forming a 1:1 host?guest inclusion complex could be efficiently photoisomerized in a reversible fashion. In contrast, successful switching in inclusion complexes incorporating two azobenzene guests was dependent on the availability of free cages in the system, and it involved reversible trafficking of azobenzene between the cages. In the absence of extra cages, photoswitching was either suppressed or it involved expulsion of azobenzene from the cage and consequently its precipitation from the solution. This finding was utilized to develop an information storage medium in which messages could be written and erased in a reversible fashion using light.","container-title":"Proceedings of the National Academy of Sciences","DOI":"10.1073/pnas.1712787115","issue":"38","journalAbbreviation":"Proceedings of the National Academy of Sciences","note":"publisher: Proceedings of the National Academy of Sciences","page":"9379-9384","title":"Reversible photoswitching of encapsulated azobenzenes in water","volume":"115","author":[{"family":"Samanta","given":"Dipak"},{"family":"Gemen","given":"Julius"},{"family":"Chu","given":"Zonglin"},{"family":"Diskin-Posner","given":"Yael"},{"family":"Shimon","given":"Linda J. W."},{"family":"Klajn","given":"Rafal"}],"issued":{"date-parts":[["2018",9,18]]}}}],"schema":"https://github.com/citation-style-language/schema/raw/master/csl-citation.json"} </w:instrText>
      </w:r>
      <w:r w:rsidR="00791212">
        <w:fldChar w:fldCharType="separate"/>
      </w:r>
      <w:r w:rsidR="00D05EDA" w:rsidRPr="00D05EDA">
        <w:rPr>
          <w:vertAlign w:val="superscript"/>
        </w:rPr>
        <w:t>28–30</w:t>
      </w:r>
      <w:r w:rsidR="00791212">
        <w:fldChar w:fldCharType="end"/>
      </w:r>
      <w:r>
        <w:t xml:space="preserve"> However, while this approach can lead to more efficient </w:t>
      </w:r>
      <w:proofErr w:type="spellStart"/>
      <w:r>
        <w:t>photoisomerisation</w:t>
      </w:r>
      <w:proofErr w:type="spellEnd"/>
      <w:r>
        <w:t xml:space="preserve">, it can also reduce the energy difference between the ground and metastable states, thereby reducing the energy density of the STF material. </w:t>
      </w:r>
    </w:p>
    <w:p w14:paraId="00AFAE9E" w14:textId="77777777" w:rsidR="00380B92" w:rsidRDefault="00000000">
      <w:pPr>
        <w:spacing w:after="160" w:line="480" w:lineRule="auto"/>
        <w:ind w:firstLine="720"/>
        <w:jc w:val="both"/>
      </w:pPr>
      <w:r>
        <w:t xml:space="preserve">A further consideration is the stability of the metastable isomer. Azobenzene-based </w:t>
      </w:r>
      <w:proofErr w:type="spellStart"/>
      <w:r>
        <w:t>photoswitches</w:t>
      </w:r>
      <w:proofErr w:type="spellEnd"/>
      <w:r>
        <w:t xml:space="preserve"> will undergo spontaneous thermal reconversion from the metastable state to the ground state isomer, typically via first-order kinetics controlled by the activation energy barrier between the two isomeric states. The rate of spontaneous thermal reconversion at ambient temperature (or equivalently the half-life of the metastable state) in the dark needs to be sufficiently long for the desired STF application. This will necessarily depend on the context in which the STF is to be used, but typically half-lives of at least several hours would be required for daily repeat cycles. Therefore, the structural design of STF materials needs to balance multiple factors regarding both spatial and electronic considerations to maximise the conversion to the metastable state as well as the energy density. This must be based on a detailed understanding of the </w:t>
      </w:r>
      <w:proofErr w:type="spellStart"/>
      <w:r>
        <w:t>photoisomerisation</w:t>
      </w:r>
      <w:proofErr w:type="spellEnd"/>
      <w:r>
        <w:t xml:space="preserve"> properties and thermal energy storage and release mechanisms.</w:t>
      </w:r>
    </w:p>
    <w:p w14:paraId="6ECA87D0" w14:textId="77777777" w:rsidR="00380B92" w:rsidRDefault="00000000">
      <w:pPr>
        <w:spacing w:after="160" w:line="480" w:lineRule="auto"/>
        <w:ind w:firstLine="720"/>
        <w:jc w:val="both"/>
      </w:pPr>
      <w:r>
        <w:t xml:space="preserve">In this work, we present a systematic study of methacrylate- and acrylate-based polymers with azobenzene functional side groups as potential STF materials. We evaluate the absorption </w:t>
      </w:r>
      <w:r>
        <w:lastRenderedPageBreak/>
        <w:t xml:space="preserve">and </w:t>
      </w:r>
      <w:proofErr w:type="spellStart"/>
      <w:r>
        <w:t>photoisomerisation</w:t>
      </w:r>
      <w:proofErr w:type="spellEnd"/>
      <w:r>
        <w:t xml:space="preserve"> properties of a set of 6 model polymers to understand the factors that control the </w:t>
      </w:r>
      <w:proofErr w:type="spellStart"/>
      <w:r>
        <w:t>photoisomerisation</w:t>
      </w:r>
      <w:proofErr w:type="spellEnd"/>
      <w:r>
        <w:t xml:space="preserve"> efficiency, </w:t>
      </w:r>
      <w:r>
        <w:rPr>
          <w:i/>
        </w:rPr>
        <w:t>Z</w:t>
      </w:r>
      <w:r>
        <w:t xml:space="preserve"> isomer stability and the resulting energy density. We find that the inclusion of an alkoxy linker between the azobenzene side group and the backbone significantly increases the </w:t>
      </w:r>
      <w:proofErr w:type="spellStart"/>
      <w:r>
        <w:t>photoisomerisation</w:t>
      </w:r>
      <w:proofErr w:type="spellEnd"/>
      <w:r>
        <w:t xml:space="preserve"> efficiency, giving almost quantitative conversion to the </w:t>
      </w:r>
      <w:r>
        <w:rPr>
          <w:i/>
        </w:rPr>
        <w:t>Z</w:t>
      </w:r>
      <w:r>
        <w:t xml:space="preserve"> isomeric state. The presence of the alkoxy linker also reduces the glass transition temperature and leads to faster spontaneous thermal reconversion to the </w:t>
      </w:r>
      <w:r>
        <w:rPr>
          <w:i/>
        </w:rPr>
        <w:t>E</w:t>
      </w:r>
      <w:r>
        <w:t xml:space="preserve"> isomeric form, but in all cases half-lives more than 4 days are observed in the solid state. The increased photoconversion in polymers with alkoxy linkers </w:t>
      </w:r>
      <w:proofErr w:type="gramStart"/>
      <w:r>
        <w:t>increases</w:t>
      </w:r>
      <w:proofErr w:type="gramEnd"/>
      <w:r>
        <w:t xml:space="preserve"> the energy density by up to 44% compared to polymers with directly attached azobenzene moieties. This is found to be primarily due to the increased absorption band separation of the ground and metastable isomeric states that results from this chemical modification, while structural effects including the reduced glass transition temperatures may also contribute to a lesser extent.</w:t>
      </w:r>
    </w:p>
    <w:p w14:paraId="6AC91B0A" w14:textId="77777777" w:rsidR="00380B92" w:rsidRDefault="00380B92">
      <w:pPr>
        <w:spacing w:after="160" w:line="480" w:lineRule="auto"/>
        <w:jc w:val="both"/>
      </w:pPr>
    </w:p>
    <w:p w14:paraId="401F4A57" w14:textId="77777777" w:rsidR="00380B92" w:rsidRDefault="00380B92">
      <w:pPr>
        <w:spacing w:after="160" w:line="480" w:lineRule="auto"/>
        <w:jc w:val="both"/>
      </w:pPr>
    </w:p>
    <w:p w14:paraId="0B73C141" w14:textId="77777777" w:rsidR="00380B92" w:rsidRDefault="00000000">
      <w:pPr>
        <w:shd w:val="clear" w:color="auto" w:fill="FFFFFF"/>
        <w:spacing w:after="380" w:line="480" w:lineRule="auto"/>
        <w:jc w:val="both"/>
        <w:rPr>
          <w:b/>
        </w:rPr>
      </w:pPr>
      <w:r>
        <w:br w:type="page"/>
      </w:r>
    </w:p>
    <w:p w14:paraId="72C97F53" w14:textId="77777777" w:rsidR="00380B92" w:rsidRDefault="00000000">
      <w:pPr>
        <w:shd w:val="clear" w:color="auto" w:fill="FFFFFF"/>
        <w:spacing w:after="380" w:line="480" w:lineRule="auto"/>
        <w:jc w:val="both"/>
        <w:rPr>
          <w:b/>
        </w:rPr>
      </w:pPr>
      <w:r>
        <w:rPr>
          <w:b/>
        </w:rPr>
        <w:lastRenderedPageBreak/>
        <w:t>RESULTS AND DISCUSSION</w:t>
      </w:r>
    </w:p>
    <w:p w14:paraId="37269381" w14:textId="77777777" w:rsidR="00380B92" w:rsidRDefault="00000000">
      <w:pPr>
        <w:shd w:val="clear" w:color="auto" w:fill="FFFFFF"/>
        <w:spacing w:after="380" w:line="480" w:lineRule="auto"/>
        <w:jc w:val="both"/>
      </w:pPr>
      <w:r>
        <w:rPr>
          <w:b/>
        </w:rPr>
        <w:t xml:space="preserve">Structural design of photochromic polymers. </w:t>
      </w:r>
      <w:r>
        <w:t>The structures of the polymers studied in this work are shown in Figure 1. The basic polymer comprises an azobenzene side-group directly bonded to either a methacrylate (</w:t>
      </w:r>
      <w:r>
        <w:rPr>
          <w:b/>
        </w:rPr>
        <w:t>1a</w:t>
      </w:r>
      <w:r>
        <w:t>) or acrylate (</w:t>
      </w:r>
      <w:r>
        <w:rPr>
          <w:b/>
        </w:rPr>
        <w:t>1b</w:t>
      </w:r>
      <w:r>
        <w:t xml:space="preserve">) backbone via the ester functionality. </w:t>
      </w:r>
    </w:p>
    <w:p w14:paraId="5DF59B8C" w14:textId="77777777" w:rsidR="00380B92" w:rsidRDefault="00000000">
      <w:pPr>
        <w:spacing w:after="380" w:line="480" w:lineRule="auto"/>
        <w:jc w:val="both"/>
      </w:pPr>
      <w:r>
        <w:rPr>
          <w:noProof/>
          <w:sz w:val="16"/>
          <w:szCs w:val="16"/>
        </w:rPr>
        <w:drawing>
          <wp:inline distT="114300" distB="114300" distL="114300" distR="114300" wp14:anchorId="4BFD6932" wp14:editId="53B98FA9">
            <wp:extent cx="5943600" cy="23876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943600" cy="2387600"/>
                    </a:xfrm>
                    <a:prstGeom prst="rect">
                      <a:avLst/>
                    </a:prstGeom>
                    <a:ln/>
                  </pic:spPr>
                </pic:pic>
              </a:graphicData>
            </a:graphic>
          </wp:inline>
        </w:drawing>
      </w:r>
    </w:p>
    <w:p w14:paraId="325D21FA" w14:textId="77777777" w:rsidR="00380B92" w:rsidRDefault="00000000">
      <w:pPr>
        <w:shd w:val="clear" w:color="auto" w:fill="FFFFFF"/>
        <w:spacing w:after="380" w:line="480" w:lineRule="auto"/>
        <w:jc w:val="both"/>
      </w:pPr>
      <w:r>
        <w:rPr>
          <w:b/>
        </w:rPr>
        <w:t>Figure 1.</w:t>
      </w:r>
      <w:r>
        <w:t xml:space="preserve"> Structures and glass transition temperatures </w:t>
      </w:r>
      <w:proofErr w:type="spellStart"/>
      <w:r>
        <w:t>T</w:t>
      </w:r>
      <w:r>
        <w:rPr>
          <w:vertAlign w:val="subscript"/>
        </w:rPr>
        <w:t>g</w:t>
      </w:r>
      <w:proofErr w:type="spellEnd"/>
      <w:r>
        <w:t xml:space="preserve"> of (meth)acrylate-based polymers investigated in this work. </w:t>
      </w:r>
    </w:p>
    <w:p w14:paraId="39ED3EAD" w14:textId="59320CD0" w:rsidR="00380B92" w:rsidRDefault="00000000">
      <w:pPr>
        <w:spacing w:after="380" w:line="480" w:lineRule="auto"/>
        <w:jc w:val="both"/>
      </w:pPr>
      <w:r>
        <w:t xml:space="preserve">To systematically investigate the influence of side-chain structure on the </w:t>
      </w:r>
      <w:proofErr w:type="spellStart"/>
      <w:r>
        <w:t>photoisomerisation</w:t>
      </w:r>
      <w:proofErr w:type="spellEnd"/>
      <w:r>
        <w:t>, we prepared analogues with flexible alkoxy linkers of varying length between the azobenzene group and the polymer backbone (</w:t>
      </w:r>
      <w:r>
        <w:rPr>
          <w:b/>
        </w:rPr>
        <w:t>2</w:t>
      </w:r>
      <w:proofErr w:type="gramStart"/>
      <w:r>
        <w:rPr>
          <w:b/>
        </w:rPr>
        <w:t>a,b</w:t>
      </w:r>
      <w:proofErr w:type="gramEnd"/>
      <w:r>
        <w:t xml:space="preserve">; </w:t>
      </w:r>
      <w:r>
        <w:rPr>
          <w:b/>
        </w:rPr>
        <w:t>3a,b</w:t>
      </w:r>
      <w:r>
        <w:t>). All polymers were synthesised by free-radical polymerisation in solution from monomers prepared in one step from 4-phenylazophenol, following slightly modified previously reported methodologies.</w:t>
      </w:r>
      <w:r w:rsidR="00791212">
        <w:fldChar w:fldCharType="begin"/>
      </w:r>
      <w:r w:rsidR="00D05EDA">
        <w:instrText xml:space="preserve"> ADDIN ZOTERO_ITEM CSL_CITATION {"citationID":"U0IFQVsD","properties":{"formattedCitation":"\\super 26,31,32\\nosupersub{}","plainCitation":"26,31,32","noteIndex":0},"citationItems":[{"id":1129,"uris":["http://zotero.org/users/7567464/items/LQMSLSTB"],"itemData":{"id":1129,"type":"article-journal","abstract":"Closed cycle systems offer an opportunity for solar energy harvesting and storage all within the same material. Photon energy is stored within the chemical conformations of molecules and is retrieved by a triggered release in the form of heat. Until now, such solar thermal fuels (STFs) have been largely unavailable in the solid-state, which would enable them to be utilized for a multitude of applications. A polymer STF storage platform is synthesized employing STFs in the solid-state. This approach enables uniform films capable of appreciable heat storage of up to 30 Wh kg?1 and that can withstand temperature of up to 180 °C. For the first time a macroscopic energy release is demonstrated using spatial infrared heat maps with up to a 10 °C temperature change. These findings pave the way for developing highly efficient and high energy density STFs for applications in the solid-state.","container-title":"Advanced Energy Materials","DOI":"10.1002/aenm.201502006","ISSN":"1614-6832","issue":"6","journalAbbreviation":"Advanced Energy Materials","note":"publisher: John Wiley &amp; Sons, Ltd","page":"1502006","title":"Solid-State Solar Thermal Fuels for Heat Release Applications","volume":"6","author":[{"family":"Zhitomirsky","given":"David"},{"family":"Cho","given":"Eugene"},{"family":"Grossman","given":"Jeffrey C."}],"issued":{"date-parts":[["2016",3,1]]}}},{"id":1163,"uris":["http://zotero.org/users/7567464/items/CMNRCV2Q"],"itemData":{"id":1163,"type":"article-journal","abstract":"A variety of 4,4′-substituted azobenzenes has been synthesised and the kinetics of the thermal cis–trans-relaxation of the substances was studied in detail in solution and embedded in a poly(methyl methacrylate) (PMMA) matrix by UV–Vis spectroscopy. Considerable differences in relaxation times were found for the various azobenzenes which interestingly could not be fully explained by simply comparing the substituents with regard to their electron-donating or -withdrawing nature. Any substituents, especially very polar ones, increase the thermal cis–trans-reaction rate. Some of the chromophores were covalently attached to a PMMA-copolymer and we found that this significantly slowed down the isomerisation kinetics compared to the embedding of low molar mass azobenzenes in a polymer matrix. But our study showed also that, even at room temperature, the thermal cis–trans-relaxation of 4,4′-substituted azobenzene chromophores can never be fully suppressed, but only slowed down.","container-title":"Reactive and Functional Polymers","DOI":"10.1016/j.reactfunctpolym.2012.02.009","ISSN":"1381-5148","issue":"4","journalAbbreviation":"Reactive and Functional Polymers","page":"242-251","title":"Synthesis of azobenzene-containing polymers and investigation of their substituent-dependent isomerisation behaviour","volume":"72","author":[{"family":"Georgi","given":"Ulrike"},{"family":"Reichenbach","given":"Philipp"},{"family":"Oertel","given":"Ulrich"},{"family":"Eng","given":"Lukas M."},{"family":"Voit","given":"Brigitte"}],"issued":{"date-parts":[["2012",4,1]]}}},{"id":1170,"uris":["http://zotero.org/users/7567464/items/SSA266YD"],"itemData":{"id":1170,"type":"article-journal","container-title":"Macromolecules","DOI":"10.1021/ma049905d","ISSN":"0024-9297","issue":"7","journalAbbreviation":"Macromolecules","note":"publisher: American Chemical Society","page":"2572-2577","title":"Synthesis of Azobenzene-Based Polymers and the in-Situ Characterization of Their Photoviscosity Effects","volume":"37","author":[{"family":"Moniruzzaman","given":"M."},{"family":"Sabey","given":"Christopher J."},{"family":"Fernando","given":"Gerard F."}],"issued":{"date-parts":[["2004",4,1]]}}}],"schema":"https://github.com/citation-style-language/schema/raw/master/csl-citation.json"} </w:instrText>
      </w:r>
      <w:r w:rsidR="00791212">
        <w:fldChar w:fldCharType="separate"/>
      </w:r>
      <w:r w:rsidR="00D05EDA" w:rsidRPr="00D05EDA">
        <w:rPr>
          <w:vertAlign w:val="superscript"/>
        </w:rPr>
        <w:t>26,31,32</w:t>
      </w:r>
      <w:r w:rsidR="00791212">
        <w:fldChar w:fldCharType="end"/>
      </w:r>
      <w:r>
        <w:t xml:space="preserve"> The as-prepared polymers’ glass transition temperatures are shown in Figure 1. Detailed experimental procedures and further analytical data, including polymer molecular weight data, can be found in Section 2 of Supporting Information. </w:t>
      </w:r>
    </w:p>
    <w:p w14:paraId="5D8A37EE" w14:textId="19415DEA" w:rsidR="00380B92" w:rsidRDefault="00000000">
      <w:pPr>
        <w:spacing w:after="380" w:line="480" w:lineRule="auto"/>
        <w:jc w:val="both"/>
        <w:rPr>
          <w:b/>
        </w:rPr>
      </w:pPr>
      <w:r>
        <w:lastRenderedPageBreak/>
        <w:t xml:space="preserve">In side-chain functional polymers such as </w:t>
      </w:r>
      <w:r>
        <w:rPr>
          <w:b/>
        </w:rPr>
        <w:t>1a</w:t>
      </w:r>
      <w:r>
        <w:t xml:space="preserve">, the glass transition temperature, </w:t>
      </w:r>
      <w:proofErr w:type="spellStart"/>
      <w:r>
        <w:t>T</w:t>
      </w:r>
      <w:r>
        <w:rPr>
          <w:vertAlign w:val="subscript"/>
        </w:rPr>
        <w:t>g</w:t>
      </w:r>
      <w:proofErr w:type="spellEnd"/>
      <w:r>
        <w:t xml:space="preserve">, which is a measure of polymer chain segment mobility, depends on the backbone structure, the size and nature of the attached side-chain functional groups, and on the distance between these side-chain groups and the backbone, </w:t>
      </w:r>
      <w:r>
        <w:rPr>
          <w:i/>
        </w:rPr>
        <w:t>i.e.</w:t>
      </w:r>
      <w:r>
        <w:t xml:space="preserve">, the length and structure of any linking groups present. Equally, the local mobility of the polymer can influence the ability of azobenzene functional groups to switch between the </w:t>
      </w:r>
      <w:r>
        <w:rPr>
          <w:i/>
        </w:rPr>
        <w:t>E</w:t>
      </w:r>
      <w:r>
        <w:t xml:space="preserve"> and </w:t>
      </w:r>
      <w:r>
        <w:rPr>
          <w:i/>
        </w:rPr>
        <w:t>Z</w:t>
      </w:r>
      <w:r>
        <w:t xml:space="preserve"> isomeric forms, which may also depend on the distance of the photochromic units to the backbone.</w:t>
      </w:r>
      <w:r w:rsidR="00791212">
        <w:fldChar w:fldCharType="begin"/>
      </w:r>
      <w:r w:rsidR="00D05EDA">
        <w:instrText xml:space="preserve"> ADDIN ZOTERO_ITEM CSL_CITATION {"citationID":"J6QKqf2g","properties":{"formattedCitation":"\\super 23\\nosupersub{}","plainCitation":"23","noteIndex":0},"citationItems":[{"id":1128,"uris":["http://zotero.org/users/7567464/items/BYZAXJBF"],"itemData":{"id":1128,"type":"article-journal","abstract":"The development of polymers with switchable glass transition temperatures (Tg) can address scientific challenges such as the healing of cracks in high-Tg polymers and the processing of hard polymers at room temperature without using plasticizing solvents. Here, we demonstrate that light can switch the Tg of azobenzene-containing polymers (azopolymers) and induce reversible solid-to-liquid transitions of the polymers. The azobenzene groups in the polymers exhibit reversible cis–trans photoisomerization abilities. Trans azopolymers are solids with Tg above room temperature, whereas cis azopolymers are liquids with Tg below room temperature. Because of the photoinduced solid-to-liquid transitions of these polymers, light can reduce the surface roughness of azopolymer films by almost 600%, repeatedly heal cracks in azopolymers, and control the adhesion of azopolymers for transfer printing. The photoswitching of Tg provides a new strategy for designing healable polymers with high Tg and allows for control over the mechanical properties of polymers with high spatiotemporal resolution.","container-title":"Nature Chemistry","DOI":"10.1038/nchem.2625","ISSN":"1755-4349","issue":"2","journalAbbreviation":"Nature Chemistry","page":"145-151","title":"Photoswitching of glass transition temperatures of azobenzene-containing polymers induces reversible solid-to-liquid transitions","volume":"9","author":[{"family":"Zhou","given":"Hongwei"},{"family":"Xue","given":"Changguo"},{"family":"Weis","given":"Philipp"},{"family":"Suzuki","given":"Yasuhito"},{"family":"Huang","given":"Shilin"},{"family":"Koynov","given":"Kaloian"},{"family":"Auernhammer","given":"Günter K."},{"family":"Berger","given":"Rüdiger"},{"family":"Butt","given":"Hans-Jürgen"},{"family":"Wu","given":"Si"}],"issued":{"date-parts":[["2017",2,1]]}}}],"schema":"https://github.com/citation-style-language/schema/raw/master/csl-citation.json"} </w:instrText>
      </w:r>
      <w:r w:rsidR="00791212">
        <w:fldChar w:fldCharType="separate"/>
      </w:r>
      <w:r w:rsidR="00D05EDA" w:rsidRPr="00D05EDA">
        <w:rPr>
          <w:vertAlign w:val="superscript"/>
        </w:rPr>
        <w:t>23</w:t>
      </w:r>
      <w:r w:rsidR="00791212">
        <w:fldChar w:fldCharType="end"/>
      </w:r>
      <w:r>
        <w:t xml:space="preserve"> In each polymethacrylate/acrylate pair </w:t>
      </w:r>
      <w:r>
        <w:rPr>
          <w:b/>
        </w:rPr>
        <w:t>a</w:t>
      </w:r>
      <w:r>
        <w:t>/</w:t>
      </w:r>
      <w:r>
        <w:rPr>
          <w:b/>
        </w:rPr>
        <w:t>b</w:t>
      </w:r>
      <w:r>
        <w:t xml:space="preserve">, the methacrylate derivatives </w:t>
      </w:r>
      <w:r>
        <w:rPr>
          <w:b/>
        </w:rPr>
        <w:t>a</w:t>
      </w:r>
      <w:r>
        <w:t xml:space="preserve"> have the higher </w:t>
      </w:r>
      <w:proofErr w:type="spellStart"/>
      <w:r>
        <w:t>T</w:t>
      </w:r>
      <w:r>
        <w:rPr>
          <w:vertAlign w:val="subscript"/>
        </w:rPr>
        <w:t>g</w:t>
      </w:r>
      <w:proofErr w:type="spellEnd"/>
      <w:r>
        <w:t xml:space="preserve">. In both the series of polymethacrylates </w:t>
      </w:r>
      <w:r>
        <w:rPr>
          <w:b/>
        </w:rPr>
        <w:t>1a</w:t>
      </w:r>
      <w:r>
        <w:t xml:space="preserve"> - </w:t>
      </w:r>
      <w:r>
        <w:rPr>
          <w:b/>
        </w:rPr>
        <w:t>3a</w:t>
      </w:r>
      <w:r>
        <w:t xml:space="preserve"> and the series of polyacrylates </w:t>
      </w:r>
      <w:r>
        <w:rPr>
          <w:b/>
        </w:rPr>
        <w:t>1b</w:t>
      </w:r>
      <w:r>
        <w:t xml:space="preserve"> - </w:t>
      </w:r>
      <w:r>
        <w:rPr>
          <w:b/>
        </w:rPr>
        <w:t>3b</w:t>
      </w:r>
      <w:r>
        <w:t xml:space="preserve">, </w:t>
      </w:r>
      <w:proofErr w:type="spellStart"/>
      <w:r>
        <w:t>T</w:t>
      </w:r>
      <w:r>
        <w:rPr>
          <w:vertAlign w:val="subscript"/>
        </w:rPr>
        <w:t>g</w:t>
      </w:r>
      <w:proofErr w:type="spellEnd"/>
      <w:r>
        <w:t xml:space="preserve"> drops with increasing linker length. The combined effects of a removal of the methyl group and a successive increase in linker length result in a drop of </w:t>
      </w:r>
      <w:proofErr w:type="spellStart"/>
      <w:r>
        <w:t>T</w:t>
      </w:r>
      <w:r>
        <w:rPr>
          <w:vertAlign w:val="subscript"/>
        </w:rPr>
        <w:t>g</w:t>
      </w:r>
      <w:proofErr w:type="spellEnd"/>
      <w:r>
        <w:t xml:space="preserve"> from 126 °C in </w:t>
      </w:r>
      <w:r>
        <w:rPr>
          <w:b/>
        </w:rPr>
        <w:t>1a</w:t>
      </w:r>
      <w:r>
        <w:t xml:space="preserve"> over 48 °C in </w:t>
      </w:r>
      <w:r>
        <w:rPr>
          <w:b/>
        </w:rPr>
        <w:t>2b</w:t>
      </w:r>
      <w:r>
        <w:t xml:space="preserve"> to 28 °C in </w:t>
      </w:r>
      <w:r>
        <w:rPr>
          <w:b/>
        </w:rPr>
        <w:t>3b</w:t>
      </w:r>
      <w:r>
        <w:t>.</w:t>
      </w:r>
      <w:r>
        <w:rPr>
          <w:b/>
        </w:rPr>
        <w:t xml:space="preserve"> </w:t>
      </w:r>
    </w:p>
    <w:p w14:paraId="1A90916F" w14:textId="77777777" w:rsidR="00380B92" w:rsidRDefault="00000000">
      <w:pPr>
        <w:spacing w:after="160" w:line="480" w:lineRule="auto"/>
        <w:jc w:val="both"/>
      </w:pPr>
      <w:proofErr w:type="spellStart"/>
      <w:r>
        <w:rPr>
          <w:b/>
        </w:rPr>
        <w:t>Photoisomerisation</w:t>
      </w:r>
      <w:proofErr w:type="spellEnd"/>
      <w:r>
        <w:rPr>
          <w:b/>
        </w:rPr>
        <w:t xml:space="preserve"> in solution. </w:t>
      </w:r>
      <w:r>
        <w:t>To separate intrinsic molecular properties from any effects arising from solid-state morphologies, we investigated</w:t>
      </w:r>
      <w:r>
        <w:rPr>
          <w:b/>
        </w:rPr>
        <w:t xml:space="preserve"> </w:t>
      </w:r>
      <w:r>
        <w:t xml:space="preserve">the UV-vis absorption and </w:t>
      </w:r>
      <w:proofErr w:type="spellStart"/>
      <w:r>
        <w:t>photoisomerisation</w:t>
      </w:r>
      <w:proofErr w:type="spellEnd"/>
      <w:r>
        <w:t xml:space="preserve"> of the six polymers in solution. UV-vis spectra of dichloromethane solutions of the as-prepared polymers are shown in Figure 2. NMR analysis confirmed that all, or at least the vast majority of, azobenzene chromophores are in the </w:t>
      </w:r>
      <w:r>
        <w:rPr>
          <w:i/>
        </w:rPr>
        <w:t>E</w:t>
      </w:r>
      <w:r>
        <w:t xml:space="preserve"> isomeric state under these conditions for all six polymers. Both </w:t>
      </w:r>
      <w:r>
        <w:rPr>
          <w:b/>
        </w:rPr>
        <w:t>1a</w:t>
      </w:r>
      <w:r>
        <w:t xml:space="preserve"> and </w:t>
      </w:r>
      <w:r>
        <w:rPr>
          <w:b/>
        </w:rPr>
        <w:t>1b</w:t>
      </w:r>
      <w:r>
        <w:t xml:space="preserve"> (Figure </w:t>
      </w:r>
      <w:r>
        <w:rPr>
          <w:i/>
        </w:rPr>
        <w:t>2</w:t>
      </w:r>
      <w:proofErr w:type="gramStart"/>
      <w:r>
        <w:t>a,b</w:t>
      </w:r>
      <w:proofErr w:type="gramEnd"/>
      <w:r>
        <w:t xml:space="preserve">) exhibit a strong π-π* absorption band at 325 nm and a weak  n-π* band at 440 nm. The close similarity in absorption behaviour between </w:t>
      </w:r>
      <w:r>
        <w:rPr>
          <w:b/>
        </w:rPr>
        <w:t>1a</w:t>
      </w:r>
      <w:r>
        <w:t xml:space="preserve"> and </w:t>
      </w:r>
      <w:r>
        <w:rPr>
          <w:b/>
        </w:rPr>
        <w:t>1b</w:t>
      </w:r>
      <w:r>
        <w:t xml:space="preserve"> is not surprising given that the only structural difference, the backbone methyl group, is minor and distant from the azobenzene moiety. The absorptions are also very similar to those obtained for both monomers and azobenzene itself, recorded under the same conditions (see Supporting Information), suggesting that attachment to the polymer backbone does not significantly affect the absorption properties of the azobenzene moiety. </w:t>
      </w:r>
    </w:p>
    <w:p w14:paraId="37281F59" w14:textId="77777777" w:rsidR="00380B92" w:rsidRDefault="00000000">
      <w:pPr>
        <w:spacing w:after="160" w:line="480" w:lineRule="auto"/>
        <w:jc w:val="center"/>
      </w:pPr>
      <w:r>
        <w:rPr>
          <w:noProof/>
        </w:rPr>
        <w:lastRenderedPageBreak/>
        <w:drawing>
          <wp:inline distT="114300" distB="114300" distL="114300" distR="114300" wp14:anchorId="10C920D6" wp14:editId="0EFD6E70">
            <wp:extent cx="3907800" cy="397668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907800" cy="3976688"/>
                    </a:xfrm>
                    <a:prstGeom prst="rect">
                      <a:avLst/>
                    </a:prstGeom>
                    <a:ln/>
                  </pic:spPr>
                </pic:pic>
              </a:graphicData>
            </a:graphic>
          </wp:inline>
        </w:drawing>
      </w:r>
    </w:p>
    <w:p w14:paraId="194772E0" w14:textId="77777777" w:rsidR="00380B92" w:rsidRDefault="00000000">
      <w:pPr>
        <w:spacing w:after="200" w:line="480" w:lineRule="auto"/>
        <w:jc w:val="both"/>
      </w:pPr>
      <w:r>
        <w:rPr>
          <w:b/>
        </w:rPr>
        <w:t>Figure 2.</w:t>
      </w:r>
      <w:r>
        <w:rPr>
          <w:i/>
        </w:rPr>
        <w:t xml:space="preserve"> </w:t>
      </w:r>
      <w:r>
        <w:t>UV-vis absorption spectra before and after irradiation with 365 nm light. All spectra were recorded in CH</w:t>
      </w:r>
      <w:r>
        <w:rPr>
          <w:vertAlign w:val="subscript"/>
        </w:rPr>
        <w:t>2</w:t>
      </w:r>
      <w:r>
        <w:t>Cl</w:t>
      </w:r>
      <w:r>
        <w:rPr>
          <w:vertAlign w:val="subscript"/>
        </w:rPr>
        <w:t>2</w:t>
      </w:r>
      <w:r>
        <w:t xml:space="preserve">. Spectra for each polymer are normalised to the maximum intensity of the as prepared polymer (see Supporting Information section 3.1 for extinction coefficients </w:t>
      </w:r>
      <w:r>
        <w:rPr>
          <w:rFonts w:ascii="Calibri" w:eastAsia="Calibri" w:hAnsi="Calibri" w:cs="Calibri"/>
          <w:sz w:val="24"/>
          <w:szCs w:val="24"/>
        </w:rPr>
        <w:t>ε</w:t>
      </w:r>
      <w:r>
        <w:t xml:space="preserve"> at </w:t>
      </w:r>
      <w:proofErr w:type="spellStart"/>
      <w:r>
        <w:rPr>
          <w:rFonts w:ascii="Calibri" w:eastAsia="Calibri" w:hAnsi="Calibri" w:cs="Calibri"/>
          <w:sz w:val="24"/>
          <w:szCs w:val="24"/>
        </w:rPr>
        <w:t>λ</w:t>
      </w:r>
      <w:r>
        <w:rPr>
          <w:rFonts w:ascii="Calibri" w:eastAsia="Calibri" w:hAnsi="Calibri" w:cs="Calibri"/>
          <w:sz w:val="24"/>
          <w:szCs w:val="24"/>
          <w:vertAlign w:val="subscript"/>
        </w:rPr>
        <w:t>max</w:t>
      </w:r>
      <w:proofErr w:type="spellEnd"/>
      <w:r>
        <w:t xml:space="preserve">). </w:t>
      </w:r>
    </w:p>
    <w:p w14:paraId="650EB12C" w14:textId="77777777" w:rsidR="00380B92" w:rsidRDefault="00380B92">
      <w:pPr>
        <w:spacing w:after="200" w:line="480" w:lineRule="auto"/>
        <w:jc w:val="both"/>
      </w:pPr>
    </w:p>
    <w:p w14:paraId="7FAFCEDB" w14:textId="7C657737" w:rsidR="00380B92" w:rsidRDefault="00000000">
      <w:pPr>
        <w:spacing w:after="160" w:line="480" w:lineRule="auto"/>
        <w:jc w:val="both"/>
      </w:pPr>
      <w:r>
        <w:t xml:space="preserve">However, for </w:t>
      </w:r>
      <w:r>
        <w:rPr>
          <w:b/>
        </w:rPr>
        <w:t>2</w:t>
      </w:r>
      <w:proofErr w:type="gramStart"/>
      <w:r>
        <w:rPr>
          <w:b/>
        </w:rPr>
        <w:t>a</w:t>
      </w:r>
      <w:r>
        <w:t>,</w:t>
      </w:r>
      <w:r>
        <w:rPr>
          <w:b/>
        </w:rPr>
        <w:t>b</w:t>
      </w:r>
      <w:proofErr w:type="gramEnd"/>
      <w:r>
        <w:rPr>
          <w:b/>
        </w:rPr>
        <w:t xml:space="preserve"> </w:t>
      </w:r>
      <w:r>
        <w:t>and</w:t>
      </w:r>
      <w:r>
        <w:rPr>
          <w:b/>
        </w:rPr>
        <w:t xml:space="preserve"> 3a</w:t>
      </w:r>
      <w:r>
        <w:t>,</w:t>
      </w:r>
      <w:r>
        <w:rPr>
          <w:b/>
        </w:rPr>
        <w:t>b</w:t>
      </w:r>
      <w:r>
        <w:t xml:space="preserve"> (Figure 2), a significant shift of the absorption maximum for the  π-π* transition from 325 nm to around 345 nm is observed. </w:t>
      </w:r>
      <w:r w:rsidR="003C23AC" w:rsidRPr="003C23AC">
        <w:rPr>
          <w:highlight w:val="yellow"/>
        </w:rPr>
        <w:t>The same shifts are observed in UV-vis spectra of the corresponding monomers (Supporting information section 3) showing that this effect is a property of the side groups rather than the polymers.</w:t>
      </w:r>
      <w:r w:rsidR="003C23AC">
        <w:t xml:space="preserve"> </w:t>
      </w:r>
      <w:r>
        <w:t>We attribute this bathochromic shift to the donation of electron density into the azobenzene moiety from the adjacent ether oxygen atom connected to the alkyl spacer.</w:t>
      </w:r>
      <w:r w:rsidR="00D05EDA">
        <w:fldChar w:fldCharType="begin"/>
      </w:r>
      <w:r w:rsidR="00D05EDA">
        <w:instrText xml:space="preserve"> ADDIN ZOTERO_ITEM CSL_CITATION {"citationID":"rR1ANURV","properties":{"formattedCitation":"\\super 27,33\\nosupersub{}","plainCitation":"27,33","noteIndex":0},"citationItems":[{"id":1157,"uris":["http://zotero.org/users/7567464/items/MLYAIFV7"],"itemData":{"id":1157,"type":"article-journal","abstract":"Azobenzene undergoes trans → cisisomerization when irradiated with light tuned to an appropriate wavelength. The reverse cis →transisomerization can be driven by light or occurs thermally in the dark. Azobenzene's photochromatic properties make it an ideal component of numerous molecular devices and functional materials. Despite the abundance of application-driven research, azobenzene photochemistry and the isomerization mechanism remain topics of investigation. Additional substituents on the azobenzene ring system change the spectroscopic properties and isomerization mechanism. This critical review details the studies completed to date on the 3 main classes of azobenzene derivatives. Understanding the differences in photochemistry, which originate from substitution, is imperative in exploiting azobenzene in the desired applications.","container-title":"Chemical Society Reviews","DOI":"10.1039/C1CS15179G","ISSN":"0306-0012","issue":"5","journalAbbreviation":"Chem. Soc. Rev.","note":"publisher: The Royal Society of Chemistry","page":"1809-1825","title":"Photoisomerization in different classes of azobenzene","volume":"41","author":[{"family":"Bandara","given":"H. M. Dhammika"},{"family":"Burdette","given":"Shawn C."}],"issued":{"date-parts":[["2012"]]}}},{"id":1166,"uris":["http://zotero.org/users/7567464/items/HZW54AAL"],"itemData":{"id":1166,"type":"article-journal","container-title":"ACS Applied Materials &amp; Interfaces","DOI":"10.1021/acsami.7b02024","ISSN":"1944-8244","issue":"15","journalAbbreviation":"ACS Appl. Mater. Interfaces","note":"publisher: American Chemical Society","page":"13778-13784","title":"Insight into a Fast-Phototuning Azobenzene Switch for Sustainably Tailoring the Foam Stability","volume":"9","author":[{"family":"Chen","given":"Shaoyu"},{"family":"Zhang","given":"Yanyan"},{"family":"Chen","given":"Kunlin"},{"family":"Yin","given":"Yunjie"},{"family":"Wang","given":"Chaoxia"}],"issued":{"date-parts":[["2017",4,19]]}}}],"schema":"https://github.com/citation-style-language/schema/raw/master/csl-citation.json"} </w:instrText>
      </w:r>
      <w:r w:rsidR="00D05EDA">
        <w:fldChar w:fldCharType="separate"/>
      </w:r>
      <w:r w:rsidR="00D05EDA" w:rsidRPr="00D05EDA">
        <w:rPr>
          <w:vertAlign w:val="superscript"/>
        </w:rPr>
        <w:t>27,33</w:t>
      </w:r>
      <w:r w:rsidR="00D05EDA">
        <w:fldChar w:fldCharType="end"/>
      </w:r>
      <w:r>
        <w:t xml:space="preserve"> Conversely, in </w:t>
      </w:r>
      <w:r>
        <w:rPr>
          <w:b/>
        </w:rPr>
        <w:t>1a</w:t>
      </w:r>
      <w:r>
        <w:t xml:space="preserve"> and </w:t>
      </w:r>
      <w:r>
        <w:rPr>
          <w:b/>
        </w:rPr>
        <w:t>1b</w:t>
      </w:r>
      <w:r>
        <w:t xml:space="preserve"> this oxygen is part of </w:t>
      </w:r>
      <w:r>
        <w:lastRenderedPageBreak/>
        <w:t xml:space="preserve">an ester group, therefore donates instead towards the more electron deficient carbonyl carbon, and no significant shift in the π-π* transition relative to azobenzene is observed. </w:t>
      </w:r>
    </w:p>
    <w:p w14:paraId="169F9AA7" w14:textId="36B2C01C" w:rsidR="00380B92" w:rsidRDefault="00000000">
      <w:pPr>
        <w:spacing w:after="160" w:line="480" w:lineRule="auto"/>
        <w:jc w:val="both"/>
      </w:pPr>
      <w:r>
        <w:t xml:space="preserve">After irradiation with 365 nm light for 5 minutes, we observed a </w:t>
      </w:r>
      <w:proofErr w:type="spellStart"/>
      <w:r>
        <w:t>hypsochromic</w:t>
      </w:r>
      <w:proofErr w:type="spellEnd"/>
      <w:r>
        <w:t xml:space="preserve"> shift and reduction in intensity of the π-π* absorption peak for all six polymer solutions, (Figure 2 and Table 1), whereas the n-π* absorptions remain at approximately the same wavelength and increase in intensity. For many azobenzene chromophores, this behaviour is characteristic of isomerization from the </w:t>
      </w:r>
      <w:r>
        <w:rPr>
          <w:i/>
        </w:rPr>
        <w:t>E</w:t>
      </w:r>
      <w:r>
        <w:t xml:space="preserve"> to the </w:t>
      </w:r>
      <w:r>
        <w:rPr>
          <w:i/>
        </w:rPr>
        <w:t>Z</w:t>
      </w:r>
      <w:r>
        <w:t xml:space="preserve"> isomer, for which the π-π* transition band is weaker, but the n-π* transition band stronger.</w:t>
      </w:r>
      <w:r w:rsidR="00921603">
        <w:fldChar w:fldCharType="begin"/>
      </w:r>
      <w:r w:rsidR="00921603">
        <w:instrText xml:space="preserve"> ADDIN ZOTERO_ITEM CSL_CITATION {"citationID":"Yw7nGrfk","properties":{"formattedCitation":"\\super 27,34,35\\nosupersub{}","plainCitation":"27,34,35","noteIndex":0},"citationItems":[{"id":1157,"uris":["http://zotero.org/users/7567464/items/MLYAIFV7"],"itemData":{"id":1157,"type":"article-journal","abstract":"Azobenzene undergoes trans → cisisomerization when irradiated with light tuned to an appropriate wavelength. The reverse cis →transisomerization can be driven by light or occurs thermally in the dark. Azobenzene's photochromatic properties make it an ideal component of numerous molecular devices and functional materials. Despite the abundance of application-driven research, azobenzene photochemistry and the isomerization mechanism remain topics of investigation. Additional substituents on the azobenzene ring system change the spectroscopic properties and isomerization mechanism. This critical review details the studies completed to date on the 3 main classes of azobenzene derivatives. Understanding the differences in photochemistry, which originate from substitution, is imperative in exploiting azobenzene in the desired applications.","container-title":"Chemical Society Reviews","DOI":"10.1039/C1CS15179G","ISSN":"0306-0012","issue":"5","journalAbbreviation":"Chem. Soc. Rev.","note":"publisher: The Royal Society of Chemistry","page":"1809-1825","title":"Photoisomerization in different classes of azobenzene","volume":"41","author":[{"family":"Bandara","given":"H. M. Dhammika"},{"family":"Burdette","given":"Shawn C."}],"issued":{"date-parts":[["2012"]]}}},{"id":1168,"uris":["http://zotero.org/users/7567464/items/2L25E4PH"],"itemData":{"id":1168,"type":"article-journal","container-title":"Journal of the American Chemical Society","DOI":"10.1021/ja00307a009","ISSN":"0002-7863","issue":"21","journalAbbreviation":"J. Am. Chem. Soc.","note":"publisher: American Chemical Society","page":"5884-5890","title":"Electronic spectra of cis- and trans-azobenzenes: consequences of ortho substitution","volume":"107","author":[{"family":"Forber","given":"Christine L."},{"family":"Kelusky","given":"Eric C."},{"family":"Bunce","given":"Nigel J."},{"family":"Zerner","given":"Michael C."}],"issued":{"date-parts":[["1985",10,1]]}}},{"id":1184,"uris":["http://zotero.org/users/7567464/items/KVDZQBCK"],"itemData":{"id":1184,"type":"article-journal","abstract":"Azobenzene is a prototypical photochromic molecule existing in two isomeric forms, which has numerous photochemical applications that rely on a precise knowledge of the molar absorption coefficients (ε). Careful analysis revealed that the previously reported absorption spectra of the “pure” isomers were in fact mutually contaminated by small amounts of the other isomer. Therefore, the absorption spectra of both trans- and cis-azobenzene in methanol were re-determined at temperatures of 5–45 °C. The thermodynamically more stable trans-azobenzene was prepared by warming the solution in the dark. To obtain the spectrum of cis-azobenzene three methods were used, which gave consistent results within the limits of error. The method based on the subtraction of derivative spectra coupled with a global analysis of the spectra recorded during thermal cis–trans isomerization is shown to give slightly more reliable results than the method using isomeric ratios determined by 1H-NMR. The described methods are readily generalizable to other azobenzene derivatives and to other photochromic systems. The practical implication of the re-determined ε values is demonstrated by a very high precision of spectrophotometric species analysis in azobenzene isomeric mixtures. The new ε values imply that the previously reported quantum yields must be revised.","container-title":"Photochemical &amp; Photobiological Sciences","DOI":"10.1039/C7PP00314E","ISSN":"1474-905X","issue":"12","journalAbbreviation":"Photochem. Photobiol. Sci.","note":"publisher: The Royal Society of Chemistry","page":"1749-1756","title":"The absorption spectrum of cis-azobenzene","volume":"16","author":[{"family":"Vetráková","given":"Ľubica"},{"family":"Ladányi","given":"Vít"},{"family":"Al Anshori","given":"Jamaludin"},{"family":"Dvořák","given":"Pavel"},{"family":"Wirz","given":"Jakob"},{"family":"Heger","given":"Dominik"}],"issued":{"date-parts":[["2017"]]}}}],"schema":"https://github.com/citation-style-language/schema/raw/master/csl-citation.json"} </w:instrText>
      </w:r>
      <w:r w:rsidR="00921603">
        <w:fldChar w:fldCharType="separate"/>
      </w:r>
      <w:r w:rsidR="00921603" w:rsidRPr="00921603">
        <w:rPr>
          <w:vertAlign w:val="superscript"/>
        </w:rPr>
        <w:t>27,34,35</w:t>
      </w:r>
      <w:r w:rsidR="00921603">
        <w:fldChar w:fldCharType="end"/>
      </w:r>
      <w:r>
        <w:t xml:space="preserve"> Similarly to the absorption spectra of the as-prepared polymers, the π-π* absorption maxima for the irradiated polymers are observed at longer wavelengths (around 305 nm) for the polymers </w:t>
      </w:r>
      <w:r>
        <w:rPr>
          <w:b/>
        </w:rPr>
        <w:t>2a</w:t>
      </w:r>
      <w:r>
        <w:t>,</w:t>
      </w:r>
      <w:r>
        <w:rPr>
          <w:b/>
        </w:rPr>
        <w:t xml:space="preserve">b </w:t>
      </w:r>
      <w:r>
        <w:t>and</w:t>
      </w:r>
      <w:r>
        <w:rPr>
          <w:b/>
        </w:rPr>
        <w:t xml:space="preserve"> 3a</w:t>
      </w:r>
      <w:r>
        <w:t>,</w:t>
      </w:r>
      <w:r>
        <w:rPr>
          <w:b/>
        </w:rPr>
        <w:t>b</w:t>
      </w:r>
      <w:r>
        <w:t xml:space="preserve"> compared to polymers </w:t>
      </w:r>
      <w:r>
        <w:rPr>
          <w:b/>
        </w:rPr>
        <w:t>1a</w:t>
      </w:r>
      <w:r>
        <w:t xml:space="preserve"> and </w:t>
      </w:r>
      <w:r>
        <w:rPr>
          <w:b/>
        </w:rPr>
        <w:t>1b</w:t>
      </w:r>
      <w:r>
        <w:t xml:space="preserve"> (around 290 nm). </w:t>
      </w:r>
    </w:p>
    <w:p w14:paraId="03FCAC26" w14:textId="77777777" w:rsidR="00380B92" w:rsidRDefault="00000000">
      <w:pPr>
        <w:spacing w:after="160" w:line="480" w:lineRule="auto"/>
        <w:jc w:val="both"/>
      </w:pPr>
      <w:r>
        <w:t xml:space="preserve">Thus, the π-π* absorption maxima for both the as-prepared and irradiated polymers </w:t>
      </w:r>
      <w:r>
        <w:rPr>
          <w:b/>
        </w:rPr>
        <w:t>2</w:t>
      </w:r>
      <w:proofErr w:type="gramStart"/>
      <w:r>
        <w:rPr>
          <w:b/>
        </w:rPr>
        <w:t>a</w:t>
      </w:r>
      <w:r>
        <w:t>,</w:t>
      </w:r>
      <w:r>
        <w:rPr>
          <w:b/>
        </w:rPr>
        <w:t>b</w:t>
      </w:r>
      <w:proofErr w:type="gramEnd"/>
      <w:r>
        <w:rPr>
          <w:b/>
        </w:rPr>
        <w:t xml:space="preserve"> </w:t>
      </w:r>
      <w:r>
        <w:t>and</w:t>
      </w:r>
      <w:r>
        <w:rPr>
          <w:b/>
        </w:rPr>
        <w:t xml:space="preserve"> 3a</w:t>
      </w:r>
      <w:r>
        <w:t>,</w:t>
      </w:r>
      <w:proofErr w:type="spellStart"/>
      <w:r>
        <w:rPr>
          <w:b/>
        </w:rPr>
        <w:t>b</w:t>
      </w:r>
      <w:r>
        <w:t xml:space="preserve"> are</w:t>
      </w:r>
      <w:proofErr w:type="spellEnd"/>
      <w:r>
        <w:t xml:space="preserve"> </w:t>
      </w:r>
      <w:proofErr w:type="spellStart"/>
      <w:r>
        <w:t>bathochromically</w:t>
      </w:r>
      <w:proofErr w:type="spellEnd"/>
      <w:r>
        <w:t xml:space="preserve"> shifted because of the introduction of the linking group, although the shift is far less pronounced for the irradiated polymer solutions. Therefore, the introduction of the linking group increases the separation of the </w:t>
      </w:r>
      <w:r>
        <w:rPr>
          <w:i/>
        </w:rPr>
        <w:t>E</w:t>
      </w:r>
      <w:r>
        <w:t xml:space="preserve"> and </w:t>
      </w:r>
      <w:r>
        <w:rPr>
          <w:i/>
        </w:rPr>
        <w:t>Z</w:t>
      </w:r>
      <w:r>
        <w:t xml:space="preserve"> π-π* absorption bands.</w:t>
      </w:r>
    </w:p>
    <w:p w14:paraId="0F64D91E" w14:textId="77777777" w:rsidR="00380B92" w:rsidRDefault="00000000">
      <w:pPr>
        <w:spacing w:after="160" w:line="480" w:lineRule="auto"/>
        <w:jc w:val="both"/>
      </w:pPr>
      <w:r>
        <w:rPr>
          <w:b/>
        </w:rPr>
        <w:t>Table 1.</w:t>
      </w:r>
      <w:r>
        <w:t xml:space="preserve"> </w:t>
      </w:r>
      <w:proofErr w:type="spellStart"/>
      <w:r>
        <w:t>λ</w:t>
      </w:r>
      <w:r>
        <w:rPr>
          <w:vertAlign w:val="subscript"/>
        </w:rPr>
        <w:t>max</w:t>
      </w:r>
      <w:proofErr w:type="spellEnd"/>
      <w:r>
        <w:t xml:space="preserve"> values for the π-π* and n–π* absorptions observed for as-prepared and irradiated polymers </w:t>
      </w:r>
      <w:r>
        <w:rPr>
          <w:b/>
        </w:rPr>
        <w:t>1</w:t>
      </w:r>
      <w:r>
        <w:t xml:space="preserve"> - </w:t>
      </w:r>
      <w:r>
        <w:rPr>
          <w:b/>
        </w:rPr>
        <w:t>3</w:t>
      </w:r>
      <w:r>
        <w:t xml:space="preserve"> in dichloromethane solution.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380B92" w14:paraId="4699C7BB" w14:textId="77777777">
        <w:trPr>
          <w:trHeight w:val="465"/>
        </w:trPr>
        <w:tc>
          <w:tcPr>
            <w:tcW w:w="1560" w:type="dxa"/>
            <w:shd w:val="clear" w:color="auto" w:fill="auto"/>
            <w:tcMar>
              <w:top w:w="100" w:type="dxa"/>
              <w:left w:w="100" w:type="dxa"/>
              <w:bottom w:w="100" w:type="dxa"/>
              <w:right w:w="100" w:type="dxa"/>
            </w:tcMar>
          </w:tcPr>
          <w:p w14:paraId="2AEA06ED" w14:textId="77777777" w:rsidR="00380B92" w:rsidRDefault="00380B92">
            <w:pPr>
              <w:widowControl w:val="0"/>
              <w:pBdr>
                <w:top w:val="nil"/>
                <w:left w:val="nil"/>
                <w:bottom w:val="nil"/>
                <w:right w:val="nil"/>
                <w:between w:val="nil"/>
              </w:pBdr>
              <w:spacing w:line="240" w:lineRule="auto"/>
              <w:jc w:val="center"/>
            </w:pPr>
          </w:p>
        </w:tc>
        <w:tc>
          <w:tcPr>
            <w:tcW w:w="3120" w:type="dxa"/>
            <w:gridSpan w:val="2"/>
            <w:shd w:val="clear" w:color="auto" w:fill="auto"/>
            <w:tcMar>
              <w:top w:w="100" w:type="dxa"/>
              <w:left w:w="100" w:type="dxa"/>
              <w:bottom w:w="100" w:type="dxa"/>
              <w:right w:w="100" w:type="dxa"/>
            </w:tcMar>
          </w:tcPr>
          <w:p w14:paraId="6F188052" w14:textId="77777777" w:rsidR="00380B92" w:rsidRDefault="00000000">
            <w:pPr>
              <w:widowControl w:val="0"/>
              <w:pBdr>
                <w:top w:val="nil"/>
                <w:left w:val="nil"/>
                <w:bottom w:val="nil"/>
                <w:right w:val="nil"/>
                <w:between w:val="nil"/>
              </w:pBdr>
              <w:spacing w:line="240" w:lineRule="auto"/>
              <w:jc w:val="center"/>
            </w:pPr>
            <w:proofErr w:type="gramStart"/>
            <w:r>
              <w:t>As-prepared</w:t>
            </w:r>
            <w:proofErr w:type="gramEnd"/>
          </w:p>
        </w:tc>
        <w:tc>
          <w:tcPr>
            <w:tcW w:w="3120" w:type="dxa"/>
            <w:gridSpan w:val="2"/>
            <w:shd w:val="clear" w:color="auto" w:fill="auto"/>
            <w:tcMar>
              <w:top w:w="100" w:type="dxa"/>
              <w:left w:w="100" w:type="dxa"/>
              <w:bottom w:w="100" w:type="dxa"/>
              <w:right w:w="100" w:type="dxa"/>
            </w:tcMar>
          </w:tcPr>
          <w:p w14:paraId="19FFBBE8" w14:textId="77777777" w:rsidR="00380B92" w:rsidRDefault="00000000">
            <w:pPr>
              <w:widowControl w:val="0"/>
              <w:pBdr>
                <w:top w:val="nil"/>
                <w:left w:val="nil"/>
                <w:bottom w:val="nil"/>
                <w:right w:val="nil"/>
                <w:between w:val="nil"/>
              </w:pBdr>
              <w:spacing w:line="240" w:lineRule="auto"/>
              <w:jc w:val="center"/>
            </w:pPr>
            <w:r>
              <w:t>Irradiated 365 nm</w:t>
            </w:r>
          </w:p>
        </w:tc>
        <w:tc>
          <w:tcPr>
            <w:tcW w:w="1560" w:type="dxa"/>
            <w:shd w:val="clear" w:color="auto" w:fill="auto"/>
            <w:tcMar>
              <w:top w:w="100" w:type="dxa"/>
              <w:left w:w="100" w:type="dxa"/>
              <w:bottom w:w="100" w:type="dxa"/>
              <w:right w:w="100" w:type="dxa"/>
            </w:tcMar>
          </w:tcPr>
          <w:p w14:paraId="02D87F56" w14:textId="77777777" w:rsidR="00380B92" w:rsidRDefault="00380B92">
            <w:pPr>
              <w:widowControl w:val="0"/>
              <w:pBdr>
                <w:top w:val="nil"/>
                <w:left w:val="nil"/>
                <w:bottom w:val="nil"/>
                <w:right w:val="nil"/>
                <w:between w:val="nil"/>
              </w:pBdr>
              <w:spacing w:line="240" w:lineRule="auto"/>
              <w:jc w:val="center"/>
            </w:pPr>
          </w:p>
        </w:tc>
      </w:tr>
      <w:tr w:rsidR="00380B92" w14:paraId="04D0C8B3" w14:textId="77777777">
        <w:tc>
          <w:tcPr>
            <w:tcW w:w="1560" w:type="dxa"/>
            <w:shd w:val="clear" w:color="auto" w:fill="auto"/>
            <w:tcMar>
              <w:top w:w="100" w:type="dxa"/>
              <w:left w:w="100" w:type="dxa"/>
              <w:bottom w:w="100" w:type="dxa"/>
              <w:right w:w="100" w:type="dxa"/>
            </w:tcMar>
          </w:tcPr>
          <w:p w14:paraId="14902156" w14:textId="77777777" w:rsidR="00380B92" w:rsidRDefault="00000000">
            <w:pPr>
              <w:widowControl w:val="0"/>
              <w:pBdr>
                <w:top w:val="nil"/>
                <w:left w:val="nil"/>
                <w:bottom w:val="nil"/>
                <w:right w:val="nil"/>
                <w:between w:val="nil"/>
              </w:pBdr>
              <w:spacing w:line="240" w:lineRule="auto"/>
              <w:jc w:val="center"/>
            </w:pPr>
            <w:r>
              <w:t>Polymer</w:t>
            </w:r>
          </w:p>
        </w:tc>
        <w:tc>
          <w:tcPr>
            <w:tcW w:w="1560" w:type="dxa"/>
            <w:shd w:val="clear" w:color="auto" w:fill="auto"/>
            <w:tcMar>
              <w:top w:w="100" w:type="dxa"/>
              <w:left w:w="100" w:type="dxa"/>
              <w:bottom w:w="100" w:type="dxa"/>
              <w:right w:w="100" w:type="dxa"/>
            </w:tcMar>
          </w:tcPr>
          <w:p w14:paraId="785BA6E5" w14:textId="77777777" w:rsidR="00380B92" w:rsidRDefault="00000000">
            <w:pPr>
              <w:widowControl w:val="0"/>
              <w:spacing w:line="240" w:lineRule="auto"/>
              <w:jc w:val="center"/>
            </w:pPr>
            <w:proofErr w:type="spellStart"/>
            <w:r>
              <w:t>λ</w:t>
            </w:r>
            <w:r>
              <w:rPr>
                <w:vertAlign w:val="subscript"/>
              </w:rPr>
              <w:t>max</w:t>
            </w:r>
            <w:proofErr w:type="spellEnd"/>
            <w:r>
              <w:rPr>
                <w:vertAlign w:val="superscript"/>
              </w:rPr>
              <w:t>π-π*</w:t>
            </w:r>
            <w:r>
              <w:t xml:space="preserve"> / nm</w:t>
            </w:r>
          </w:p>
        </w:tc>
        <w:tc>
          <w:tcPr>
            <w:tcW w:w="1560" w:type="dxa"/>
            <w:shd w:val="clear" w:color="auto" w:fill="auto"/>
            <w:tcMar>
              <w:top w:w="100" w:type="dxa"/>
              <w:left w:w="100" w:type="dxa"/>
              <w:bottom w:w="100" w:type="dxa"/>
              <w:right w:w="100" w:type="dxa"/>
            </w:tcMar>
          </w:tcPr>
          <w:p w14:paraId="6F1EAA68" w14:textId="77777777" w:rsidR="00380B92" w:rsidRDefault="00000000">
            <w:pPr>
              <w:widowControl w:val="0"/>
              <w:spacing w:line="240" w:lineRule="auto"/>
              <w:jc w:val="center"/>
            </w:pPr>
            <w:proofErr w:type="spellStart"/>
            <w:r>
              <w:t>λ</w:t>
            </w:r>
            <w:r>
              <w:rPr>
                <w:vertAlign w:val="subscript"/>
              </w:rPr>
              <w:t>max</w:t>
            </w:r>
            <w:r>
              <w:rPr>
                <w:vertAlign w:val="superscript"/>
              </w:rPr>
              <w:t>n</w:t>
            </w:r>
            <w:proofErr w:type="spellEnd"/>
            <w:r>
              <w:rPr>
                <w:vertAlign w:val="superscript"/>
              </w:rPr>
              <w:t>-π*</w:t>
            </w:r>
            <w:r>
              <w:t xml:space="preserve"> / nm</w:t>
            </w:r>
          </w:p>
        </w:tc>
        <w:tc>
          <w:tcPr>
            <w:tcW w:w="1560" w:type="dxa"/>
            <w:shd w:val="clear" w:color="auto" w:fill="auto"/>
            <w:tcMar>
              <w:top w:w="100" w:type="dxa"/>
              <w:left w:w="100" w:type="dxa"/>
              <w:bottom w:w="100" w:type="dxa"/>
              <w:right w:w="100" w:type="dxa"/>
            </w:tcMar>
          </w:tcPr>
          <w:p w14:paraId="067C4482" w14:textId="77777777" w:rsidR="00380B92" w:rsidRDefault="00000000">
            <w:pPr>
              <w:widowControl w:val="0"/>
              <w:spacing w:line="240" w:lineRule="auto"/>
              <w:jc w:val="center"/>
            </w:pPr>
            <w:proofErr w:type="spellStart"/>
            <w:r>
              <w:t>λ</w:t>
            </w:r>
            <w:r>
              <w:rPr>
                <w:vertAlign w:val="subscript"/>
              </w:rPr>
              <w:t>max</w:t>
            </w:r>
            <w:proofErr w:type="spellEnd"/>
            <w:r>
              <w:rPr>
                <w:vertAlign w:val="superscript"/>
              </w:rPr>
              <w:t>π-π*</w:t>
            </w:r>
            <w:r>
              <w:t xml:space="preserve"> / nm</w:t>
            </w:r>
          </w:p>
        </w:tc>
        <w:tc>
          <w:tcPr>
            <w:tcW w:w="1560" w:type="dxa"/>
            <w:shd w:val="clear" w:color="auto" w:fill="auto"/>
            <w:tcMar>
              <w:top w:w="100" w:type="dxa"/>
              <w:left w:w="100" w:type="dxa"/>
              <w:bottom w:w="100" w:type="dxa"/>
              <w:right w:w="100" w:type="dxa"/>
            </w:tcMar>
          </w:tcPr>
          <w:p w14:paraId="685CD1EB" w14:textId="77777777" w:rsidR="00380B92" w:rsidRDefault="00000000">
            <w:pPr>
              <w:widowControl w:val="0"/>
              <w:spacing w:line="240" w:lineRule="auto"/>
              <w:jc w:val="center"/>
            </w:pPr>
            <w:proofErr w:type="spellStart"/>
            <w:r>
              <w:t>λ</w:t>
            </w:r>
            <w:r>
              <w:rPr>
                <w:vertAlign w:val="subscript"/>
              </w:rPr>
              <w:t>max</w:t>
            </w:r>
            <w:r>
              <w:rPr>
                <w:vertAlign w:val="superscript"/>
              </w:rPr>
              <w:t>n</w:t>
            </w:r>
            <w:proofErr w:type="spellEnd"/>
            <w:r>
              <w:rPr>
                <w:vertAlign w:val="superscript"/>
              </w:rPr>
              <w:t>-π*</w:t>
            </w:r>
            <w:r>
              <w:t xml:space="preserve"> / nm</w:t>
            </w:r>
          </w:p>
        </w:tc>
        <w:tc>
          <w:tcPr>
            <w:tcW w:w="1560" w:type="dxa"/>
            <w:shd w:val="clear" w:color="auto" w:fill="auto"/>
            <w:tcMar>
              <w:top w:w="100" w:type="dxa"/>
              <w:left w:w="100" w:type="dxa"/>
              <w:bottom w:w="100" w:type="dxa"/>
              <w:right w:w="100" w:type="dxa"/>
            </w:tcMar>
          </w:tcPr>
          <w:p w14:paraId="4BEE0208" w14:textId="77777777" w:rsidR="00380B92" w:rsidRDefault="00000000">
            <w:pPr>
              <w:widowControl w:val="0"/>
              <w:spacing w:line="240" w:lineRule="auto"/>
              <w:jc w:val="center"/>
            </w:pPr>
            <w:r>
              <w:rPr>
                <w:rFonts w:ascii="Arial Unicode MS" w:eastAsia="Arial Unicode MS" w:hAnsi="Arial Unicode MS" w:cs="Arial Unicode MS"/>
              </w:rPr>
              <w:t>∆</w:t>
            </w:r>
            <w:proofErr w:type="spellStart"/>
            <w:r>
              <w:rPr>
                <w:rFonts w:ascii="Arial Unicode MS" w:eastAsia="Arial Unicode MS" w:hAnsi="Arial Unicode MS" w:cs="Arial Unicode MS"/>
              </w:rPr>
              <w:t>λ</w:t>
            </w:r>
            <w:r>
              <w:rPr>
                <w:vertAlign w:val="subscript"/>
              </w:rPr>
              <w:t>max</w:t>
            </w:r>
            <w:proofErr w:type="spellEnd"/>
            <w:r>
              <w:rPr>
                <w:vertAlign w:val="superscript"/>
              </w:rPr>
              <w:t>π-π*</w:t>
            </w:r>
            <w:r>
              <w:t xml:space="preserve"> / nm</w:t>
            </w:r>
          </w:p>
        </w:tc>
      </w:tr>
      <w:tr w:rsidR="00380B92" w14:paraId="49159C7B" w14:textId="77777777">
        <w:tc>
          <w:tcPr>
            <w:tcW w:w="1560" w:type="dxa"/>
            <w:shd w:val="clear" w:color="auto" w:fill="auto"/>
            <w:tcMar>
              <w:top w:w="100" w:type="dxa"/>
              <w:left w:w="100" w:type="dxa"/>
              <w:bottom w:w="100" w:type="dxa"/>
              <w:right w:w="100" w:type="dxa"/>
            </w:tcMar>
          </w:tcPr>
          <w:p w14:paraId="58B01BB2" w14:textId="77777777" w:rsidR="00380B92" w:rsidRDefault="00000000">
            <w:pPr>
              <w:widowControl w:val="0"/>
              <w:spacing w:line="240" w:lineRule="auto"/>
              <w:jc w:val="center"/>
              <w:rPr>
                <w:b/>
              </w:rPr>
            </w:pPr>
            <w:r>
              <w:rPr>
                <w:b/>
              </w:rPr>
              <w:t>1a</w:t>
            </w:r>
          </w:p>
        </w:tc>
        <w:tc>
          <w:tcPr>
            <w:tcW w:w="1560" w:type="dxa"/>
            <w:shd w:val="clear" w:color="auto" w:fill="auto"/>
            <w:tcMar>
              <w:top w:w="100" w:type="dxa"/>
              <w:left w:w="100" w:type="dxa"/>
              <w:bottom w:w="100" w:type="dxa"/>
              <w:right w:w="100" w:type="dxa"/>
            </w:tcMar>
          </w:tcPr>
          <w:p w14:paraId="77235CFE" w14:textId="77777777" w:rsidR="00380B92" w:rsidRDefault="00000000">
            <w:pPr>
              <w:widowControl w:val="0"/>
              <w:pBdr>
                <w:top w:val="nil"/>
                <w:left w:val="nil"/>
                <w:bottom w:val="nil"/>
                <w:right w:val="nil"/>
                <w:between w:val="nil"/>
              </w:pBdr>
              <w:spacing w:line="240" w:lineRule="auto"/>
              <w:jc w:val="center"/>
            </w:pPr>
            <w:r>
              <w:t>322</w:t>
            </w:r>
          </w:p>
        </w:tc>
        <w:tc>
          <w:tcPr>
            <w:tcW w:w="1560" w:type="dxa"/>
            <w:shd w:val="clear" w:color="auto" w:fill="auto"/>
            <w:tcMar>
              <w:top w:w="100" w:type="dxa"/>
              <w:left w:w="100" w:type="dxa"/>
              <w:bottom w:w="100" w:type="dxa"/>
              <w:right w:w="100" w:type="dxa"/>
            </w:tcMar>
          </w:tcPr>
          <w:p w14:paraId="22B37A9B" w14:textId="77777777" w:rsidR="00380B92" w:rsidRDefault="00000000">
            <w:pPr>
              <w:widowControl w:val="0"/>
              <w:pBdr>
                <w:top w:val="nil"/>
                <w:left w:val="nil"/>
                <w:bottom w:val="nil"/>
                <w:right w:val="nil"/>
                <w:between w:val="nil"/>
              </w:pBdr>
              <w:spacing w:line="240" w:lineRule="auto"/>
              <w:jc w:val="center"/>
            </w:pPr>
            <w:r>
              <w:t>439</w:t>
            </w:r>
          </w:p>
        </w:tc>
        <w:tc>
          <w:tcPr>
            <w:tcW w:w="1560" w:type="dxa"/>
            <w:shd w:val="clear" w:color="auto" w:fill="auto"/>
            <w:tcMar>
              <w:top w:w="100" w:type="dxa"/>
              <w:left w:w="100" w:type="dxa"/>
              <w:bottom w:w="100" w:type="dxa"/>
              <w:right w:w="100" w:type="dxa"/>
            </w:tcMar>
          </w:tcPr>
          <w:p w14:paraId="5A734960" w14:textId="77777777" w:rsidR="00380B92" w:rsidRDefault="00000000">
            <w:pPr>
              <w:widowControl w:val="0"/>
              <w:pBdr>
                <w:top w:val="nil"/>
                <w:left w:val="nil"/>
                <w:bottom w:val="nil"/>
                <w:right w:val="nil"/>
                <w:between w:val="nil"/>
              </w:pBdr>
              <w:spacing w:line="240" w:lineRule="auto"/>
              <w:jc w:val="center"/>
            </w:pPr>
            <w:r>
              <w:t>296</w:t>
            </w:r>
          </w:p>
        </w:tc>
        <w:tc>
          <w:tcPr>
            <w:tcW w:w="1560" w:type="dxa"/>
            <w:shd w:val="clear" w:color="auto" w:fill="auto"/>
            <w:tcMar>
              <w:top w:w="100" w:type="dxa"/>
              <w:left w:w="100" w:type="dxa"/>
              <w:bottom w:w="100" w:type="dxa"/>
              <w:right w:w="100" w:type="dxa"/>
            </w:tcMar>
          </w:tcPr>
          <w:p w14:paraId="13D2C324" w14:textId="77777777" w:rsidR="00380B92" w:rsidRDefault="00000000">
            <w:pPr>
              <w:widowControl w:val="0"/>
              <w:pBdr>
                <w:top w:val="nil"/>
                <w:left w:val="nil"/>
                <w:bottom w:val="nil"/>
                <w:right w:val="nil"/>
                <w:between w:val="nil"/>
              </w:pBdr>
              <w:spacing w:line="240" w:lineRule="auto"/>
              <w:jc w:val="center"/>
            </w:pPr>
            <w:r>
              <w:t>440</w:t>
            </w:r>
          </w:p>
        </w:tc>
        <w:tc>
          <w:tcPr>
            <w:tcW w:w="1560" w:type="dxa"/>
            <w:shd w:val="clear" w:color="auto" w:fill="auto"/>
            <w:tcMar>
              <w:top w:w="100" w:type="dxa"/>
              <w:left w:w="100" w:type="dxa"/>
              <w:bottom w:w="100" w:type="dxa"/>
              <w:right w:w="100" w:type="dxa"/>
            </w:tcMar>
          </w:tcPr>
          <w:p w14:paraId="1794F8B3" w14:textId="77777777" w:rsidR="00380B92" w:rsidRDefault="00000000">
            <w:pPr>
              <w:widowControl w:val="0"/>
              <w:pBdr>
                <w:top w:val="nil"/>
                <w:left w:val="nil"/>
                <w:bottom w:val="nil"/>
                <w:right w:val="nil"/>
                <w:between w:val="nil"/>
              </w:pBdr>
              <w:spacing w:line="240" w:lineRule="auto"/>
              <w:jc w:val="center"/>
            </w:pPr>
            <w:r>
              <w:t>26</w:t>
            </w:r>
          </w:p>
        </w:tc>
      </w:tr>
      <w:tr w:rsidR="00380B92" w14:paraId="037B9FF0" w14:textId="77777777">
        <w:tc>
          <w:tcPr>
            <w:tcW w:w="1560" w:type="dxa"/>
            <w:shd w:val="clear" w:color="auto" w:fill="auto"/>
            <w:tcMar>
              <w:top w:w="100" w:type="dxa"/>
              <w:left w:w="100" w:type="dxa"/>
              <w:bottom w:w="100" w:type="dxa"/>
              <w:right w:w="100" w:type="dxa"/>
            </w:tcMar>
          </w:tcPr>
          <w:p w14:paraId="5D20F007" w14:textId="77777777" w:rsidR="00380B92" w:rsidRDefault="00000000">
            <w:pPr>
              <w:widowControl w:val="0"/>
              <w:spacing w:line="240" w:lineRule="auto"/>
              <w:jc w:val="center"/>
              <w:rPr>
                <w:b/>
              </w:rPr>
            </w:pPr>
            <w:r>
              <w:rPr>
                <w:b/>
              </w:rPr>
              <w:t>1b</w:t>
            </w:r>
          </w:p>
        </w:tc>
        <w:tc>
          <w:tcPr>
            <w:tcW w:w="1560" w:type="dxa"/>
            <w:shd w:val="clear" w:color="auto" w:fill="auto"/>
            <w:tcMar>
              <w:top w:w="100" w:type="dxa"/>
              <w:left w:w="100" w:type="dxa"/>
              <w:bottom w:w="100" w:type="dxa"/>
              <w:right w:w="100" w:type="dxa"/>
            </w:tcMar>
          </w:tcPr>
          <w:p w14:paraId="53A5121C" w14:textId="77777777" w:rsidR="00380B92" w:rsidRDefault="00000000">
            <w:pPr>
              <w:widowControl w:val="0"/>
              <w:pBdr>
                <w:top w:val="nil"/>
                <w:left w:val="nil"/>
                <w:bottom w:val="nil"/>
                <w:right w:val="nil"/>
                <w:between w:val="nil"/>
              </w:pBdr>
              <w:spacing w:line="240" w:lineRule="auto"/>
              <w:jc w:val="center"/>
            </w:pPr>
            <w:r>
              <w:t>321</w:t>
            </w:r>
          </w:p>
        </w:tc>
        <w:tc>
          <w:tcPr>
            <w:tcW w:w="1560" w:type="dxa"/>
            <w:shd w:val="clear" w:color="auto" w:fill="auto"/>
            <w:tcMar>
              <w:top w:w="100" w:type="dxa"/>
              <w:left w:w="100" w:type="dxa"/>
              <w:bottom w:w="100" w:type="dxa"/>
              <w:right w:w="100" w:type="dxa"/>
            </w:tcMar>
          </w:tcPr>
          <w:p w14:paraId="7EB4A6A4" w14:textId="77777777" w:rsidR="00380B92" w:rsidRDefault="00000000">
            <w:pPr>
              <w:widowControl w:val="0"/>
              <w:pBdr>
                <w:top w:val="nil"/>
                <w:left w:val="nil"/>
                <w:bottom w:val="nil"/>
                <w:right w:val="nil"/>
                <w:between w:val="nil"/>
              </w:pBdr>
              <w:spacing w:line="240" w:lineRule="auto"/>
              <w:jc w:val="center"/>
            </w:pPr>
            <w:r>
              <w:t>441</w:t>
            </w:r>
          </w:p>
        </w:tc>
        <w:tc>
          <w:tcPr>
            <w:tcW w:w="1560" w:type="dxa"/>
            <w:shd w:val="clear" w:color="auto" w:fill="auto"/>
            <w:tcMar>
              <w:top w:w="100" w:type="dxa"/>
              <w:left w:w="100" w:type="dxa"/>
              <w:bottom w:w="100" w:type="dxa"/>
              <w:right w:w="100" w:type="dxa"/>
            </w:tcMar>
          </w:tcPr>
          <w:p w14:paraId="7369E60C" w14:textId="77777777" w:rsidR="00380B92" w:rsidRDefault="00000000">
            <w:pPr>
              <w:widowControl w:val="0"/>
              <w:pBdr>
                <w:top w:val="nil"/>
                <w:left w:val="nil"/>
                <w:bottom w:val="nil"/>
                <w:right w:val="nil"/>
                <w:between w:val="nil"/>
              </w:pBdr>
              <w:spacing w:line="240" w:lineRule="auto"/>
              <w:jc w:val="center"/>
            </w:pPr>
            <w:r>
              <w:t>290</w:t>
            </w:r>
          </w:p>
        </w:tc>
        <w:tc>
          <w:tcPr>
            <w:tcW w:w="1560" w:type="dxa"/>
            <w:shd w:val="clear" w:color="auto" w:fill="auto"/>
            <w:tcMar>
              <w:top w:w="100" w:type="dxa"/>
              <w:left w:w="100" w:type="dxa"/>
              <w:bottom w:w="100" w:type="dxa"/>
              <w:right w:w="100" w:type="dxa"/>
            </w:tcMar>
          </w:tcPr>
          <w:p w14:paraId="40AB5FF5" w14:textId="77777777" w:rsidR="00380B92" w:rsidRDefault="00000000">
            <w:pPr>
              <w:widowControl w:val="0"/>
              <w:pBdr>
                <w:top w:val="nil"/>
                <w:left w:val="nil"/>
                <w:bottom w:val="nil"/>
                <w:right w:val="nil"/>
                <w:between w:val="nil"/>
              </w:pBdr>
              <w:spacing w:line="240" w:lineRule="auto"/>
              <w:jc w:val="center"/>
            </w:pPr>
            <w:r>
              <w:t>438</w:t>
            </w:r>
          </w:p>
        </w:tc>
        <w:tc>
          <w:tcPr>
            <w:tcW w:w="1560" w:type="dxa"/>
            <w:shd w:val="clear" w:color="auto" w:fill="auto"/>
            <w:tcMar>
              <w:top w:w="100" w:type="dxa"/>
              <w:left w:w="100" w:type="dxa"/>
              <w:bottom w:w="100" w:type="dxa"/>
              <w:right w:w="100" w:type="dxa"/>
            </w:tcMar>
          </w:tcPr>
          <w:p w14:paraId="098D0EC0" w14:textId="77777777" w:rsidR="00380B92" w:rsidRDefault="00000000">
            <w:pPr>
              <w:widowControl w:val="0"/>
              <w:pBdr>
                <w:top w:val="nil"/>
                <w:left w:val="nil"/>
                <w:bottom w:val="nil"/>
                <w:right w:val="nil"/>
                <w:between w:val="nil"/>
              </w:pBdr>
              <w:spacing w:line="240" w:lineRule="auto"/>
              <w:jc w:val="center"/>
            </w:pPr>
            <w:r>
              <w:t>31</w:t>
            </w:r>
          </w:p>
        </w:tc>
      </w:tr>
      <w:tr w:rsidR="00380B92" w14:paraId="0DED7505" w14:textId="77777777">
        <w:tc>
          <w:tcPr>
            <w:tcW w:w="1560" w:type="dxa"/>
            <w:shd w:val="clear" w:color="auto" w:fill="auto"/>
            <w:tcMar>
              <w:top w:w="100" w:type="dxa"/>
              <w:left w:w="100" w:type="dxa"/>
              <w:bottom w:w="100" w:type="dxa"/>
              <w:right w:w="100" w:type="dxa"/>
            </w:tcMar>
          </w:tcPr>
          <w:p w14:paraId="38B378E7" w14:textId="77777777" w:rsidR="00380B92" w:rsidRDefault="00000000">
            <w:pPr>
              <w:widowControl w:val="0"/>
              <w:spacing w:line="240" w:lineRule="auto"/>
              <w:jc w:val="center"/>
              <w:rPr>
                <w:b/>
              </w:rPr>
            </w:pPr>
            <w:r>
              <w:rPr>
                <w:b/>
              </w:rPr>
              <w:t>2a</w:t>
            </w:r>
          </w:p>
        </w:tc>
        <w:tc>
          <w:tcPr>
            <w:tcW w:w="1560" w:type="dxa"/>
            <w:shd w:val="clear" w:color="auto" w:fill="auto"/>
            <w:tcMar>
              <w:top w:w="100" w:type="dxa"/>
              <w:left w:w="100" w:type="dxa"/>
              <w:bottom w:w="100" w:type="dxa"/>
              <w:right w:w="100" w:type="dxa"/>
            </w:tcMar>
          </w:tcPr>
          <w:p w14:paraId="58321108" w14:textId="77777777" w:rsidR="00380B92" w:rsidRDefault="00000000">
            <w:pPr>
              <w:widowControl w:val="0"/>
              <w:pBdr>
                <w:top w:val="nil"/>
                <w:left w:val="nil"/>
                <w:bottom w:val="nil"/>
                <w:right w:val="nil"/>
                <w:between w:val="nil"/>
              </w:pBdr>
              <w:spacing w:line="240" w:lineRule="auto"/>
              <w:jc w:val="center"/>
            </w:pPr>
            <w:r>
              <w:t>344</w:t>
            </w:r>
          </w:p>
        </w:tc>
        <w:tc>
          <w:tcPr>
            <w:tcW w:w="1560" w:type="dxa"/>
            <w:shd w:val="clear" w:color="auto" w:fill="auto"/>
            <w:tcMar>
              <w:top w:w="100" w:type="dxa"/>
              <w:left w:w="100" w:type="dxa"/>
              <w:bottom w:w="100" w:type="dxa"/>
              <w:right w:w="100" w:type="dxa"/>
            </w:tcMar>
          </w:tcPr>
          <w:p w14:paraId="13C434F4" w14:textId="77777777" w:rsidR="00380B92" w:rsidRDefault="00000000">
            <w:pPr>
              <w:widowControl w:val="0"/>
              <w:pBdr>
                <w:top w:val="nil"/>
                <w:left w:val="nil"/>
                <w:bottom w:val="nil"/>
                <w:right w:val="nil"/>
                <w:between w:val="nil"/>
              </w:pBdr>
              <w:spacing w:line="240" w:lineRule="auto"/>
              <w:jc w:val="center"/>
            </w:pPr>
            <w:r>
              <w:t>441</w:t>
            </w:r>
          </w:p>
        </w:tc>
        <w:tc>
          <w:tcPr>
            <w:tcW w:w="1560" w:type="dxa"/>
            <w:shd w:val="clear" w:color="auto" w:fill="auto"/>
            <w:tcMar>
              <w:top w:w="100" w:type="dxa"/>
              <w:left w:w="100" w:type="dxa"/>
              <w:bottom w:w="100" w:type="dxa"/>
              <w:right w:w="100" w:type="dxa"/>
            </w:tcMar>
          </w:tcPr>
          <w:p w14:paraId="69302E55" w14:textId="77777777" w:rsidR="00380B92" w:rsidRDefault="00000000">
            <w:pPr>
              <w:widowControl w:val="0"/>
              <w:pBdr>
                <w:top w:val="nil"/>
                <w:left w:val="nil"/>
                <w:bottom w:val="nil"/>
                <w:right w:val="nil"/>
                <w:between w:val="nil"/>
              </w:pBdr>
              <w:spacing w:line="240" w:lineRule="auto"/>
              <w:jc w:val="center"/>
            </w:pPr>
            <w:r>
              <w:t>303</w:t>
            </w:r>
          </w:p>
        </w:tc>
        <w:tc>
          <w:tcPr>
            <w:tcW w:w="1560" w:type="dxa"/>
            <w:shd w:val="clear" w:color="auto" w:fill="auto"/>
            <w:tcMar>
              <w:top w:w="100" w:type="dxa"/>
              <w:left w:w="100" w:type="dxa"/>
              <w:bottom w:w="100" w:type="dxa"/>
              <w:right w:w="100" w:type="dxa"/>
            </w:tcMar>
          </w:tcPr>
          <w:p w14:paraId="786E6DD5" w14:textId="77777777" w:rsidR="00380B92" w:rsidRDefault="00000000">
            <w:pPr>
              <w:widowControl w:val="0"/>
              <w:pBdr>
                <w:top w:val="nil"/>
                <w:left w:val="nil"/>
                <w:bottom w:val="nil"/>
                <w:right w:val="nil"/>
                <w:between w:val="nil"/>
              </w:pBdr>
              <w:spacing w:line="240" w:lineRule="auto"/>
              <w:jc w:val="center"/>
            </w:pPr>
            <w:r>
              <w:t>443</w:t>
            </w:r>
          </w:p>
        </w:tc>
        <w:tc>
          <w:tcPr>
            <w:tcW w:w="1560" w:type="dxa"/>
            <w:shd w:val="clear" w:color="auto" w:fill="auto"/>
            <w:tcMar>
              <w:top w:w="100" w:type="dxa"/>
              <w:left w:w="100" w:type="dxa"/>
              <w:bottom w:w="100" w:type="dxa"/>
              <w:right w:w="100" w:type="dxa"/>
            </w:tcMar>
          </w:tcPr>
          <w:p w14:paraId="3F78875B" w14:textId="77777777" w:rsidR="00380B92" w:rsidRDefault="00000000">
            <w:pPr>
              <w:widowControl w:val="0"/>
              <w:pBdr>
                <w:top w:val="nil"/>
                <w:left w:val="nil"/>
                <w:bottom w:val="nil"/>
                <w:right w:val="nil"/>
                <w:between w:val="nil"/>
              </w:pBdr>
              <w:spacing w:line="240" w:lineRule="auto"/>
              <w:jc w:val="center"/>
            </w:pPr>
            <w:r>
              <w:t>41</w:t>
            </w:r>
          </w:p>
        </w:tc>
      </w:tr>
      <w:tr w:rsidR="00380B92" w14:paraId="30EE14A7" w14:textId="77777777">
        <w:tc>
          <w:tcPr>
            <w:tcW w:w="1560" w:type="dxa"/>
            <w:shd w:val="clear" w:color="auto" w:fill="auto"/>
            <w:tcMar>
              <w:top w:w="100" w:type="dxa"/>
              <w:left w:w="100" w:type="dxa"/>
              <w:bottom w:w="100" w:type="dxa"/>
              <w:right w:w="100" w:type="dxa"/>
            </w:tcMar>
          </w:tcPr>
          <w:p w14:paraId="69AEF4D0" w14:textId="77777777" w:rsidR="00380B92" w:rsidRDefault="00000000">
            <w:pPr>
              <w:widowControl w:val="0"/>
              <w:spacing w:line="240" w:lineRule="auto"/>
              <w:jc w:val="center"/>
              <w:rPr>
                <w:b/>
              </w:rPr>
            </w:pPr>
            <w:r>
              <w:rPr>
                <w:b/>
              </w:rPr>
              <w:t>2b</w:t>
            </w:r>
          </w:p>
        </w:tc>
        <w:tc>
          <w:tcPr>
            <w:tcW w:w="1560" w:type="dxa"/>
            <w:shd w:val="clear" w:color="auto" w:fill="auto"/>
            <w:tcMar>
              <w:top w:w="100" w:type="dxa"/>
              <w:left w:w="100" w:type="dxa"/>
              <w:bottom w:w="100" w:type="dxa"/>
              <w:right w:w="100" w:type="dxa"/>
            </w:tcMar>
          </w:tcPr>
          <w:p w14:paraId="77F2D202" w14:textId="77777777" w:rsidR="00380B92" w:rsidRDefault="00000000">
            <w:pPr>
              <w:widowControl w:val="0"/>
              <w:pBdr>
                <w:top w:val="nil"/>
                <w:left w:val="nil"/>
                <w:bottom w:val="nil"/>
                <w:right w:val="nil"/>
                <w:between w:val="nil"/>
              </w:pBdr>
              <w:spacing w:line="240" w:lineRule="auto"/>
              <w:jc w:val="center"/>
            </w:pPr>
            <w:r>
              <w:t>344</w:t>
            </w:r>
          </w:p>
        </w:tc>
        <w:tc>
          <w:tcPr>
            <w:tcW w:w="1560" w:type="dxa"/>
            <w:shd w:val="clear" w:color="auto" w:fill="auto"/>
            <w:tcMar>
              <w:top w:w="100" w:type="dxa"/>
              <w:left w:w="100" w:type="dxa"/>
              <w:bottom w:w="100" w:type="dxa"/>
              <w:right w:w="100" w:type="dxa"/>
            </w:tcMar>
          </w:tcPr>
          <w:p w14:paraId="396F9FFF" w14:textId="77777777" w:rsidR="00380B92" w:rsidRDefault="00000000">
            <w:pPr>
              <w:widowControl w:val="0"/>
              <w:pBdr>
                <w:top w:val="nil"/>
                <w:left w:val="nil"/>
                <w:bottom w:val="nil"/>
                <w:right w:val="nil"/>
                <w:between w:val="nil"/>
              </w:pBdr>
              <w:spacing w:line="240" w:lineRule="auto"/>
              <w:jc w:val="center"/>
            </w:pPr>
            <w:r>
              <w:t>438</w:t>
            </w:r>
          </w:p>
        </w:tc>
        <w:tc>
          <w:tcPr>
            <w:tcW w:w="1560" w:type="dxa"/>
            <w:shd w:val="clear" w:color="auto" w:fill="auto"/>
            <w:tcMar>
              <w:top w:w="100" w:type="dxa"/>
              <w:left w:w="100" w:type="dxa"/>
              <w:bottom w:w="100" w:type="dxa"/>
              <w:right w:w="100" w:type="dxa"/>
            </w:tcMar>
          </w:tcPr>
          <w:p w14:paraId="0A59CA7D" w14:textId="77777777" w:rsidR="00380B92" w:rsidRDefault="00000000">
            <w:pPr>
              <w:widowControl w:val="0"/>
              <w:pBdr>
                <w:top w:val="nil"/>
                <w:left w:val="nil"/>
                <w:bottom w:val="nil"/>
                <w:right w:val="nil"/>
                <w:between w:val="nil"/>
              </w:pBdr>
              <w:spacing w:line="240" w:lineRule="auto"/>
              <w:jc w:val="center"/>
            </w:pPr>
            <w:r>
              <w:t>304</w:t>
            </w:r>
          </w:p>
        </w:tc>
        <w:tc>
          <w:tcPr>
            <w:tcW w:w="1560" w:type="dxa"/>
            <w:shd w:val="clear" w:color="auto" w:fill="auto"/>
            <w:tcMar>
              <w:top w:w="100" w:type="dxa"/>
              <w:left w:w="100" w:type="dxa"/>
              <w:bottom w:w="100" w:type="dxa"/>
              <w:right w:w="100" w:type="dxa"/>
            </w:tcMar>
          </w:tcPr>
          <w:p w14:paraId="31B9D083" w14:textId="77777777" w:rsidR="00380B92" w:rsidRDefault="00000000">
            <w:pPr>
              <w:widowControl w:val="0"/>
              <w:pBdr>
                <w:top w:val="nil"/>
                <w:left w:val="nil"/>
                <w:bottom w:val="nil"/>
                <w:right w:val="nil"/>
                <w:between w:val="nil"/>
              </w:pBdr>
              <w:spacing w:line="240" w:lineRule="auto"/>
              <w:jc w:val="center"/>
            </w:pPr>
            <w:r>
              <w:t>440</w:t>
            </w:r>
          </w:p>
        </w:tc>
        <w:tc>
          <w:tcPr>
            <w:tcW w:w="1560" w:type="dxa"/>
            <w:shd w:val="clear" w:color="auto" w:fill="auto"/>
            <w:tcMar>
              <w:top w:w="100" w:type="dxa"/>
              <w:left w:w="100" w:type="dxa"/>
              <w:bottom w:w="100" w:type="dxa"/>
              <w:right w:w="100" w:type="dxa"/>
            </w:tcMar>
          </w:tcPr>
          <w:p w14:paraId="408106C9" w14:textId="77777777" w:rsidR="00380B92" w:rsidRDefault="00000000">
            <w:pPr>
              <w:widowControl w:val="0"/>
              <w:pBdr>
                <w:top w:val="nil"/>
                <w:left w:val="nil"/>
                <w:bottom w:val="nil"/>
                <w:right w:val="nil"/>
                <w:between w:val="nil"/>
              </w:pBdr>
              <w:spacing w:line="240" w:lineRule="auto"/>
              <w:jc w:val="center"/>
            </w:pPr>
            <w:r>
              <w:t>40</w:t>
            </w:r>
          </w:p>
        </w:tc>
      </w:tr>
      <w:tr w:rsidR="00380B92" w14:paraId="45963424" w14:textId="77777777">
        <w:tc>
          <w:tcPr>
            <w:tcW w:w="1560" w:type="dxa"/>
            <w:shd w:val="clear" w:color="auto" w:fill="auto"/>
            <w:tcMar>
              <w:top w:w="100" w:type="dxa"/>
              <w:left w:w="100" w:type="dxa"/>
              <w:bottom w:w="100" w:type="dxa"/>
              <w:right w:w="100" w:type="dxa"/>
            </w:tcMar>
          </w:tcPr>
          <w:p w14:paraId="389B1705" w14:textId="77777777" w:rsidR="00380B92" w:rsidRDefault="00000000">
            <w:pPr>
              <w:widowControl w:val="0"/>
              <w:spacing w:line="240" w:lineRule="auto"/>
              <w:jc w:val="center"/>
              <w:rPr>
                <w:b/>
              </w:rPr>
            </w:pPr>
            <w:r>
              <w:rPr>
                <w:b/>
              </w:rPr>
              <w:t>3a</w:t>
            </w:r>
          </w:p>
        </w:tc>
        <w:tc>
          <w:tcPr>
            <w:tcW w:w="1560" w:type="dxa"/>
            <w:shd w:val="clear" w:color="auto" w:fill="auto"/>
            <w:tcMar>
              <w:top w:w="100" w:type="dxa"/>
              <w:left w:w="100" w:type="dxa"/>
              <w:bottom w:w="100" w:type="dxa"/>
              <w:right w:w="100" w:type="dxa"/>
            </w:tcMar>
          </w:tcPr>
          <w:p w14:paraId="30CEF82E" w14:textId="77777777" w:rsidR="00380B92" w:rsidRDefault="00000000">
            <w:pPr>
              <w:widowControl w:val="0"/>
              <w:pBdr>
                <w:top w:val="nil"/>
                <w:left w:val="nil"/>
                <w:bottom w:val="nil"/>
                <w:right w:val="nil"/>
                <w:between w:val="nil"/>
              </w:pBdr>
              <w:spacing w:line="240" w:lineRule="auto"/>
              <w:jc w:val="center"/>
            </w:pPr>
            <w:r>
              <w:t>347</w:t>
            </w:r>
          </w:p>
        </w:tc>
        <w:tc>
          <w:tcPr>
            <w:tcW w:w="1560" w:type="dxa"/>
            <w:shd w:val="clear" w:color="auto" w:fill="auto"/>
            <w:tcMar>
              <w:top w:w="100" w:type="dxa"/>
              <w:left w:w="100" w:type="dxa"/>
              <w:bottom w:w="100" w:type="dxa"/>
              <w:right w:w="100" w:type="dxa"/>
            </w:tcMar>
          </w:tcPr>
          <w:p w14:paraId="0F13BCA1" w14:textId="77777777" w:rsidR="00380B92" w:rsidRDefault="00000000">
            <w:pPr>
              <w:widowControl w:val="0"/>
              <w:pBdr>
                <w:top w:val="nil"/>
                <w:left w:val="nil"/>
                <w:bottom w:val="nil"/>
                <w:right w:val="nil"/>
                <w:between w:val="nil"/>
              </w:pBdr>
              <w:spacing w:line="240" w:lineRule="auto"/>
              <w:jc w:val="center"/>
            </w:pPr>
            <w:r>
              <w:t>438</w:t>
            </w:r>
          </w:p>
        </w:tc>
        <w:tc>
          <w:tcPr>
            <w:tcW w:w="1560" w:type="dxa"/>
            <w:shd w:val="clear" w:color="auto" w:fill="auto"/>
            <w:tcMar>
              <w:top w:w="100" w:type="dxa"/>
              <w:left w:w="100" w:type="dxa"/>
              <w:bottom w:w="100" w:type="dxa"/>
              <w:right w:w="100" w:type="dxa"/>
            </w:tcMar>
          </w:tcPr>
          <w:p w14:paraId="03381DA5" w14:textId="77777777" w:rsidR="00380B92" w:rsidRDefault="00000000">
            <w:pPr>
              <w:widowControl w:val="0"/>
              <w:pBdr>
                <w:top w:val="nil"/>
                <w:left w:val="nil"/>
                <w:bottom w:val="nil"/>
                <w:right w:val="nil"/>
                <w:between w:val="nil"/>
              </w:pBdr>
              <w:spacing w:line="240" w:lineRule="auto"/>
              <w:jc w:val="center"/>
            </w:pPr>
            <w:r>
              <w:t>307</w:t>
            </w:r>
          </w:p>
        </w:tc>
        <w:tc>
          <w:tcPr>
            <w:tcW w:w="1560" w:type="dxa"/>
            <w:shd w:val="clear" w:color="auto" w:fill="auto"/>
            <w:tcMar>
              <w:top w:w="100" w:type="dxa"/>
              <w:left w:w="100" w:type="dxa"/>
              <w:bottom w:w="100" w:type="dxa"/>
              <w:right w:w="100" w:type="dxa"/>
            </w:tcMar>
          </w:tcPr>
          <w:p w14:paraId="1AD5FC6A" w14:textId="77777777" w:rsidR="00380B92" w:rsidRDefault="00000000">
            <w:pPr>
              <w:widowControl w:val="0"/>
              <w:pBdr>
                <w:top w:val="nil"/>
                <w:left w:val="nil"/>
                <w:bottom w:val="nil"/>
                <w:right w:val="nil"/>
                <w:between w:val="nil"/>
              </w:pBdr>
              <w:spacing w:line="240" w:lineRule="auto"/>
              <w:jc w:val="center"/>
            </w:pPr>
            <w:r>
              <w:t>442</w:t>
            </w:r>
          </w:p>
        </w:tc>
        <w:tc>
          <w:tcPr>
            <w:tcW w:w="1560" w:type="dxa"/>
            <w:shd w:val="clear" w:color="auto" w:fill="auto"/>
            <w:tcMar>
              <w:top w:w="100" w:type="dxa"/>
              <w:left w:w="100" w:type="dxa"/>
              <w:bottom w:w="100" w:type="dxa"/>
              <w:right w:w="100" w:type="dxa"/>
            </w:tcMar>
          </w:tcPr>
          <w:p w14:paraId="1E412E34" w14:textId="77777777" w:rsidR="00380B92" w:rsidRDefault="00000000">
            <w:pPr>
              <w:widowControl w:val="0"/>
              <w:pBdr>
                <w:top w:val="nil"/>
                <w:left w:val="nil"/>
                <w:bottom w:val="nil"/>
                <w:right w:val="nil"/>
                <w:between w:val="nil"/>
              </w:pBdr>
              <w:spacing w:line="240" w:lineRule="auto"/>
              <w:jc w:val="center"/>
            </w:pPr>
            <w:r>
              <w:t>40</w:t>
            </w:r>
          </w:p>
        </w:tc>
      </w:tr>
      <w:tr w:rsidR="00380B92" w14:paraId="4888C48D" w14:textId="77777777">
        <w:tc>
          <w:tcPr>
            <w:tcW w:w="1560" w:type="dxa"/>
            <w:shd w:val="clear" w:color="auto" w:fill="auto"/>
            <w:tcMar>
              <w:top w:w="100" w:type="dxa"/>
              <w:left w:w="100" w:type="dxa"/>
              <w:bottom w:w="100" w:type="dxa"/>
              <w:right w:w="100" w:type="dxa"/>
            </w:tcMar>
          </w:tcPr>
          <w:p w14:paraId="2E5B2C36" w14:textId="77777777" w:rsidR="00380B92" w:rsidRDefault="00000000">
            <w:pPr>
              <w:widowControl w:val="0"/>
              <w:spacing w:line="240" w:lineRule="auto"/>
              <w:jc w:val="center"/>
              <w:rPr>
                <w:b/>
              </w:rPr>
            </w:pPr>
            <w:r>
              <w:rPr>
                <w:b/>
              </w:rPr>
              <w:t>3b</w:t>
            </w:r>
          </w:p>
        </w:tc>
        <w:tc>
          <w:tcPr>
            <w:tcW w:w="1560" w:type="dxa"/>
            <w:shd w:val="clear" w:color="auto" w:fill="auto"/>
            <w:tcMar>
              <w:top w:w="100" w:type="dxa"/>
              <w:left w:w="100" w:type="dxa"/>
              <w:bottom w:w="100" w:type="dxa"/>
              <w:right w:w="100" w:type="dxa"/>
            </w:tcMar>
          </w:tcPr>
          <w:p w14:paraId="7ABBD301" w14:textId="77777777" w:rsidR="00380B92" w:rsidRDefault="00000000">
            <w:pPr>
              <w:widowControl w:val="0"/>
              <w:pBdr>
                <w:top w:val="nil"/>
                <w:left w:val="nil"/>
                <w:bottom w:val="nil"/>
                <w:right w:val="nil"/>
                <w:between w:val="nil"/>
              </w:pBdr>
              <w:spacing w:line="240" w:lineRule="auto"/>
              <w:jc w:val="center"/>
            </w:pPr>
            <w:r>
              <w:t>347</w:t>
            </w:r>
          </w:p>
        </w:tc>
        <w:tc>
          <w:tcPr>
            <w:tcW w:w="1560" w:type="dxa"/>
            <w:shd w:val="clear" w:color="auto" w:fill="auto"/>
            <w:tcMar>
              <w:top w:w="100" w:type="dxa"/>
              <w:left w:w="100" w:type="dxa"/>
              <w:bottom w:w="100" w:type="dxa"/>
              <w:right w:w="100" w:type="dxa"/>
            </w:tcMar>
          </w:tcPr>
          <w:p w14:paraId="129AC0D5" w14:textId="77777777" w:rsidR="00380B92" w:rsidRDefault="00000000">
            <w:pPr>
              <w:widowControl w:val="0"/>
              <w:pBdr>
                <w:top w:val="nil"/>
                <w:left w:val="nil"/>
                <w:bottom w:val="nil"/>
                <w:right w:val="nil"/>
                <w:between w:val="nil"/>
              </w:pBdr>
              <w:spacing w:line="240" w:lineRule="auto"/>
              <w:jc w:val="center"/>
            </w:pPr>
            <w:r>
              <w:t>438</w:t>
            </w:r>
          </w:p>
        </w:tc>
        <w:tc>
          <w:tcPr>
            <w:tcW w:w="1560" w:type="dxa"/>
            <w:shd w:val="clear" w:color="auto" w:fill="auto"/>
            <w:tcMar>
              <w:top w:w="100" w:type="dxa"/>
              <w:left w:w="100" w:type="dxa"/>
              <w:bottom w:w="100" w:type="dxa"/>
              <w:right w:w="100" w:type="dxa"/>
            </w:tcMar>
          </w:tcPr>
          <w:p w14:paraId="55E45B68" w14:textId="77777777" w:rsidR="00380B92" w:rsidRDefault="00000000">
            <w:pPr>
              <w:widowControl w:val="0"/>
              <w:pBdr>
                <w:top w:val="nil"/>
                <w:left w:val="nil"/>
                <w:bottom w:val="nil"/>
                <w:right w:val="nil"/>
                <w:between w:val="nil"/>
              </w:pBdr>
              <w:spacing w:line="240" w:lineRule="auto"/>
              <w:jc w:val="center"/>
            </w:pPr>
            <w:r>
              <w:t>307</w:t>
            </w:r>
          </w:p>
        </w:tc>
        <w:tc>
          <w:tcPr>
            <w:tcW w:w="1560" w:type="dxa"/>
            <w:shd w:val="clear" w:color="auto" w:fill="auto"/>
            <w:tcMar>
              <w:top w:w="100" w:type="dxa"/>
              <w:left w:w="100" w:type="dxa"/>
              <w:bottom w:w="100" w:type="dxa"/>
              <w:right w:w="100" w:type="dxa"/>
            </w:tcMar>
          </w:tcPr>
          <w:p w14:paraId="34938F2E" w14:textId="77777777" w:rsidR="00380B92" w:rsidRDefault="00000000">
            <w:pPr>
              <w:widowControl w:val="0"/>
              <w:pBdr>
                <w:top w:val="nil"/>
                <w:left w:val="nil"/>
                <w:bottom w:val="nil"/>
                <w:right w:val="nil"/>
                <w:between w:val="nil"/>
              </w:pBdr>
              <w:spacing w:line="240" w:lineRule="auto"/>
              <w:jc w:val="center"/>
            </w:pPr>
            <w:r>
              <w:t>441</w:t>
            </w:r>
          </w:p>
        </w:tc>
        <w:tc>
          <w:tcPr>
            <w:tcW w:w="1560" w:type="dxa"/>
            <w:shd w:val="clear" w:color="auto" w:fill="auto"/>
            <w:tcMar>
              <w:top w:w="100" w:type="dxa"/>
              <w:left w:w="100" w:type="dxa"/>
              <w:bottom w:w="100" w:type="dxa"/>
              <w:right w:w="100" w:type="dxa"/>
            </w:tcMar>
          </w:tcPr>
          <w:p w14:paraId="1BE8AEDB" w14:textId="77777777" w:rsidR="00380B92" w:rsidRDefault="00000000">
            <w:pPr>
              <w:widowControl w:val="0"/>
              <w:pBdr>
                <w:top w:val="nil"/>
                <w:left w:val="nil"/>
                <w:bottom w:val="nil"/>
                <w:right w:val="nil"/>
                <w:between w:val="nil"/>
              </w:pBdr>
              <w:spacing w:line="240" w:lineRule="auto"/>
              <w:jc w:val="center"/>
            </w:pPr>
            <w:r>
              <w:t>40</w:t>
            </w:r>
          </w:p>
        </w:tc>
      </w:tr>
    </w:tbl>
    <w:p w14:paraId="41E92984" w14:textId="77777777" w:rsidR="00380B92" w:rsidRDefault="00380B92">
      <w:pPr>
        <w:spacing w:after="160" w:line="480" w:lineRule="auto"/>
        <w:jc w:val="both"/>
      </w:pPr>
    </w:p>
    <w:p w14:paraId="28EA940E" w14:textId="67966ECB" w:rsidR="00380B92" w:rsidRDefault="00000000">
      <w:pPr>
        <w:spacing w:after="380" w:line="480" w:lineRule="auto"/>
        <w:jc w:val="both"/>
      </w:pPr>
      <w:r>
        <w:t xml:space="preserve">To quantitatively follow the </w:t>
      </w:r>
      <w:proofErr w:type="spellStart"/>
      <w:r>
        <w:t>photoisomerisation</w:t>
      </w:r>
      <w:proofErr w:type="spellEnd"/>
      <w:r>
        <w:t xml:space="preserve"> in solution, we recorded </w:t>
      </w:r>
      <w:r>
        <w:rPr>
          <w:vertAlign w:val="superscript"/>
        </w:rPr>
        <w:t>1</w:t>
      </w:r>
      <w:r>
        <w:t xml:space="preserve">H NMR spectra at 15-minute intervals during exposure to 365 nm light (see Supporting Information Section 4). Figure 3a shows an example of the changes observed in the NMR spectrum of </w:t>
      </w:r>
      <w:r>
        <w:rPr>
          <w:b/>
        </w:rPr>
        <w:t>1a</w:t>
      </w:r>
      <w:r>
        <w:t xml:space="preserve">. Figure 3b shows the population of </w:t>
      </w:r>
      <w:r>
        <w:rPr>
          <w:i/>
        </w:rPr>
        <w:t>Z</w:t>
      </w:r>
      <w:r>
        <w:t xml:space="preserve"> isomers calculated from the NMR spectra as a function of irradiation time for all polymers studied. Polymer solutions </w:t>
      </w:r>
      <w:r>
        <w:rPr>
          <w:b/>
        </w:rPr>
        <w:t>1a</w:t>
      </w:r>
      <w:r>
        <w:t xml:space="preserve"> and </w:t>
      </w:r>
      <w:r>
        <w:rPr>
          <w:b/>
        </w:rPr>
        <w:t>1b</w:t>
      </w:r>
      <w:r>
        <w:t xml:space="preserve"> reach respective </w:t>
      </w:r>
      <w:proofErr w:type="spellStart"/>
      <w:r>
        <w:t>photostationary</w:t>
      </w:r>
      <w:proofErr w:type="spellEnd"/>
      <w:r>
        <w:t xml:space="preserve"> states (PSSs) of 77% and 75% </w:t>
      </w:r>
      <w:r>
        <w:rPr>
          <w:i/>
        </w:rPr>
        <w:t>Z</w:t>
      </w:r>
      <w:r>
        <w:t xml:space="preserve"> isomer after approximately 30 minutes total irradiation time. The PSS we observe for </w:t>
      </w:r>
      <w:r>
        <w:rPr>
          <w:b/>
        </w:rPr>
        <w:t>1a</w:t>
      </w:r>
      <w:r>
        <w:t xml:space="preserve"> and </w:t>
      </w:r>
      <w:r>
        <w:rPr>
          <w:b/>
        </w:rPr>
        <w:t>1b</w:t>
      </w:r>
      <w:r>
        <w:t xml:space="preserve"> is comparable to the PSS we measured for the monomer </w:t>
      </w:r>
      <w:r>
        <w:rPr>
          <w:b/>
        </w:rPr>
        <w:t>M1a</w:t>
      </w:r>
      <w:r>
        <w:t>, and to the PSS reported for azobenzene itself when irradiated with 313 nm light.</w:t>
      </w:r>
      <w:r w:rsidR="00921603">
        <w:fldChar w:fldCharType="begin"/>
      </w:r>
      <w:r w:rsidR="00921603">
        <w:instrText xml:space="preserve"> ADDIN ZOTERO_ITEM CSL_CITATION {"citationID":"dU4fxDlm","properties":{"formattedCitation":"\\super 27\\nosupersub{}","plainCitation":"27","noteIndex":0},"citationItems":[{"id":1157,"uris":["http://zotero.org/users/7567464/items/MLYAIFV7"],"itemData":{"id":1157,"type":"article-journal","abstract":"Azobenzene undergoes trans → cisisomerization when irradiated with light tuned to an appropriate wavelength. The reverse cis →transisomerization can be driven by light or occurs thermally in the dark. Azobenzene's photochromatic properties make it an ideal component of numerous molecular devices and functional materials. Despite the abundance of application-driven research, azobenzene photochemistry and the isomerization mechanism remain topics of investigation. Additional substituents on the azobenzene ring system change the spectroscopic properties and isomerization mechanism. This critical review details the studies completed to date on the 3 main classes of azobenzene derivatives. Understanding the differences in photochemistry, which originate from substitution, is imperative in exploiting azobenzene in the desired applications.","container-title":"Chemical Society Reviews","DOI":"10.1039/C1CS15179G","ISSN":"0306-0012","issue":"5","journalAbbreviation":"Chem. Soc. Rev.","note":"publisher: The Royal Society of Chemistry","page":"1809-1825","title":"Photoisomerization in different classes of azobenzene","volume":"41","author":[{"family":"Bandara","given":"H. M. Dhammika"},{"family":"Burdette","given":"Shawn C."}],"issued":{"date-parts":[["2012"]]}}}],"schema":"https://github.com/citation-style-language/schema/raw/master/csl-citation.json"} </w:instrText>
      </w:r>
      <w:r w:rsidR="00921603">
        <w:fldChar w:fldCharType="separate"/>
      </w:r>
      <w:r w:rsidR="00921603" w:rsidRPr="00921603">
        <w:rPr>
          <w:vertAlign w:val="superscript"/>
        </w:rPr>
        <w:t>27</w:t>
      </w:r>
      <w:r w:rsidR="00921603">
        <w:fldChar w:fldCharType="end"/>
      </w:r>
      <w:r>
        <w:t xml:space="preserve"> Therefore the PSS for </w:t>
      </w:r>
      <w:r>
        <w:rPr>
          <w:b/>
        </w:rPr>
        <w:t>1a</w:t>
      </w:r>
      <w:r>
        <w:t xml:space="preserve"> and </w:t>
      </w:r>
      <w:r>
        <w:rPr>
          <w:b/>
        </w:rPr>
        <w:t>1b</w:t>
      </w:r>
      <w:r>
        <w:t xml:space="preserve"> does not appear to be influenced by any steric effects from polymer attachment and is instead a result of the considerable overlap of the π-π* absorption bands of the </w:t>
      </w:r>
      <w:r>
        <w:rPr>
          <w:i/>
        </w:rPr>
        <w:t>E</w:t>
      </w:r>
      <w:r>
        <w:t xml:space="preserve"> and </w:t>
      </w:r>
      <w:r>
        <w:rPr>
          <w:i/>
        </w:rPr>
        <w:t>Z</w:t>
      </w:r>
      <w:r>
        <w:t xml:space="preserve"> isomers. For azobenzene-based polymer STF materials, this incomplete conversion to the </w:t>
      </w:r>
      <w:r>
        <w:rPr>
          <w:i/>
        </w:rPr>
        <w:t>Z</w:t>
      </w:r>
      <w:r>
        <w:t xml:space="preserve"> isomeric state represents a significant limitation on the energy density since, even under optimum conditions of light absorption, around 20-30% of azobenzene groups remain in the </w:t>
      </w:r>
      <w:r>
        <w:rPr>
          <w:i/>
        </w:rPr>
        <w:t>E</w:t>
      </w:r>
      <w:r>
        <w:t xml:space="preserve"> isomeric form, which do not contribute to energy storage and hence impact negatively on the gravimetric energy storage density.</w:t>
      </w:r>
    </w:p>
    <w:p w14:paraId="4A3EB487" w14:textId="072C84DE" w:rsidR="00380B92" w:rsidRDefault="00000000">
      <w:pPr>
        <w:spacing w:after="380" w:line="480" w:lineRule="auto"/>
        <w:jc w:val="both"/>
      </w:pPr>
      <w:r>
        <w:t xml:space="preserve">Figure 3b also shows the growth of the population of </w:t>
      </w:r>
      <w:r>
        <w:rPr>
          <w:i/>
        </w:rPr>
        <w:t>Z</w:t>
      </w:r>
      <w:r>
        <w:t xml:space="preserve"> isomers as a function of irradiation time for </w:t>
      </w:r>
      <w:r>
        <w:rPr>
          <w:b/>
        </w:rPr>
        <w:t>2a</w:t>
      </w:r>
      <w:r>
        <w:t>/</w:t>
      </w:r>
      <w:r>
        <w:rPr>
          <w:b/>
        </w:rPr>
        <w:t>b</w:t>
      </w:r>
      <w:r>
        <w:t xml:space="preserve"> and </w:t>
      </w:r>
      <w:r>
        <w:rPr>
          <w:b/>
        </w:rPr>
        <w:t>3a</w:t>
      </w:r>
      <w:r>
        <w:t>/</w:t>
      </w:r>
      <w:r>
        <w:rPr>
          <w:b/>
        </w:rPr>
        <w:t>b</w:t>
      </w:r>
      <w:r>
        <w:t xml:space="preserve">. While the kinetics of photoisomerization are </w:t>
      </w:r>
      <w:proofErr w:type="gramStart"/>
      <w:r>
        <w:t>similar to</w:t>
      </w:r>
      <w:proofErr w:type="gramEnd"/>
      <w:r>
        <w:t xml:space="preserve"> </w:t>
      </w:r>
      <w:r>
        <w:rPr>
          <w:b/>
        </w:rPr>
        <w:t>1a</w:t>
      </w:r>
      <w:r>
        <w:t xml:space="preserve"> and </w:t>
      </w:r>
      <w:r>
        <w:rPr>
          <w:b/>
        </w:rPr>
        <w:t>1b</w:t>
      </w:r>
      <w:r>
        <w:t xml:space="preserve">, the </w:t>
      </w:r>
      <w:r>
        <w:rPr>
          <w:i/>
        </w:rPr>
        <w:t>Z</w:t>
      </w:r>
      <w:r>
        <w:t xml:space="preserve"> isomer population at the PSS is significantly increased for this set of polymers. In fact, with PSSs of around 98% </w:t>
      </w:r>
      <w:r>
        <w:rPr>
          <w:i/>
        </w:rPr>
        <w:t>Z</w:t>
      </w:r>
      <w:r>
        <w:t xml:space="preserve"> isomer, we observed almost quantitative </w:t>
      </w:r>
      <w:r>
        <w:rPr>
          <w:i/>
        </w:rPr>
        <w:t>E</w:t>
      </w:r>
      <w:r>
        <w:t xml:space="preserve"> to </w:t>
      </w:r>
      <w:r>
        <w:rPr>
          <w:i/>
        </w:rPr>
        <w:t>Z</w:t>
      </w:r>
      <w:r>
        <w:t xml:space="preserve"> conversion, which we attribute to the increased separation of the </w:t>
      </w:r>
      <w:r>
        <w:rPr>
          <w:i/>
        </w:rPr>
        <w:t>E</w:t>
      </w:r>
      <w:r>
        <w:t xml:space="preserve"> and </w:t>
      </w:r>
      <w:r>
        <w:rPr>
          <w:i/>
        </w:rPr>
        <w:t>Z</w:t>
      </w:r>
      <w:r>
        <w:t xml:space="preserve"> π-π* absorptions resulting from the incorporation of either the C</w:t>
      </w:r>
      <w:r>
        <w:rPr>
          <w:vertAlign w:val="subscript"/>
        </w:rPr>
        <w:t>2</w:t>
      </w:r>
      <w:r>
        <w:t>H</w:t>
      </w:r>
      <w:r>
        <w:rPr>
          <w:vertAlign w:val="subscript"/>
        </w:rPr>
        <w:t xml:space="preserve">4 </w:t>
      </w:r>
      <w:r>
        <w:t xml:space="preserve">in </w:t>
      </w:r>
      <w:r>
        <w:rPr>
          <w:b/>
        </w:rPr>
        <w:t>2</w:t>
      </w:r>
      <w:proofErr w:type="gramStart"/>
      <w:r>
        <w:rPr>
          <w:b/>
        </w:rPr>
        <w:t>a</w:t>
      </w:r>
      <w:r>
        <w:t>,</w:t>
      </w:r>
      <w:r>
        <w:rPr>
          <w:b/>
        </w:rPr>
        <w:t>b</w:t>
      </w:r>
      <w:proofErr w:type="gramEnd"/>
      <w:r>
        <w:t xml:space="preserve"> or the C</w:t>
      </w:r>
      <w:r>
        <w:rPr>
          <w:vertAlign w:val="subscript"/>
        </w:rPr>
        <w:t>4</w:t>
      </w:r>
      <w:r>
        <w:t>H</w:t>
      </w:r>
      <w:r>
        <w:rPr>
          <w:vertAlign w:val="subscript"/>
        </w:rPr>
        <w:t>8</w:t>
      </w:r>
      <w:r>
        <w:t xml:space="preserve"> linker in </w:t>
      </w:r>
      <w:r>
        <w:rPr>
          <w:b/>
        </w:rPr>
        <w:t>3a</w:t>
      </w:r>
      <w:r>
        <w:t>/</w:t>
      </w:r>
      <w:r>
        <w:rPr>
          <w:b/>
        </w:rPr>
        <w:t>b</w:t>
      </w:r>
      <w:r>
        <w:t xml:space="preserve">. The irradiation wavelength of 365 nm is closer to the shifted absorption maximum for the </w:t>
      </w:r>
      <w:r>
        <w:rPr>
          <w:i/>
        </w:rPr>
        <w:t>E</w:t>
      </w:r>
      <w:r>
        <w:t xml:space="preserve"> state, whereas it remains on the edge of the weaker </w:t>
      </w:r>
      <w:r>
        <w:rPr>
          <w:i/>
        </w:rPr>
        <w:t>Z</w:t>
      </w:r>
      <w:r>
        <w:t xml:space="preserve"> absorption, thereby significantly reducing the propensity for back conversion to the </w:t>
      </w:r>
      <w:r>
        <w:rPr>
          <w:i/>
        </w:rPr>
        <w:t>E</w:t>
      </w:r>
      <w:r>
        <w:t xml:space="preserve"> state during irradiation. This contrasts with polymers </w:t>
      </w:r>
      <w:r>
        <w:rPr>
          <w:b/>
        </w:rPr>
        <w:t>1a</w:t>
      </w:r>
      <w:r>
        <w:t xml:space="preserve"> and </w:t>
      </w:r>
      <w:r>
        <w:rPr>
          <w:b/>
        </w:rPr>
        <w:t>1b</w:t>
      </w:r>
      <w:r>
        <w:t xml:space="preserve"> where the irradiation wavelength is on the </w:t>
      </w:r>
      <w:r>
        <w:lastRenderedPageBreak/>
        <w:t xml:space="preserve">edge of both the </w:t>
      </w:r>
      <w:r>
        <w:rPr>
          <w:i/>
        </w:rPr>
        <w:t>E</w:t>
      </w:r>
      <w:r>
        <w:t xml:space="preserve"> and </w:t>
      </w:r>
      <w:r>
        <w:rPr>
          <w:i/>
        </w:rPr>
        <w:t>Z</w:t>
      </w:r>
      <w:r>
        <w:t xml:space="preserve"> absorptions, leading to greater back conversion. The increased PSSs for polymers </w:t>
      </w:r>
      <w:r>
        <w:rPr>
          <w:b/>
        </w:rPr>
        <w:t>2a</w:t>
      </w:r>
      <w:r>
        <w:t>/</w:t>
      </w:r>
      <w:r>
        <w:rPr>
          <w:b/>
        </w:rPr>
        <w:t xml:space="preserve">b </w:t>
      </w:r>
      <w:r>
        <w:t>and</w:t>
      </w:r>
      <w:r>
        <w:rPr>
          <w:b/>
        </w:rPr>
        <w:t xml:space="preserve"> 3a</w:t>
      </w:r>
      <w:r>
        <w:t>/</w:t>
      </w:r>
      <w:r>
        <w:rPr>
          <w:b/>
        </w:rPr>
        <w:t>b</w:t>
      </w:r>
      <w:r>
        <w:t xml:space="preserve"> mirror observations on similar alkyl-substituted azopolymers,</w:t>
      </w:r>
      <w:r w:rsidR="00E95FA9">
        <w:fldChar w:fldCharType="begin"/>
      </w:r>
      <w:r w:rsidR="00E95FA9">
        <w:instrText xml:space="preserve"> ADDIN ZOTERO_ITEM CSL_CITATION {"citationID":"5wdfCgtI","properties":{"formattedCitation":"\\super 23\\nosupersub{}","plainCitation":"23","noteIndex":0},"citationItems":[{"id":1128,"uris":["http://zotero.org/users/7567464/items/BYZAXJBF"],"itemData":{"id":1128,"type":"article-journal","abstract":"The development of polymers with switchable glass transition temperatures (Tg) can address scientific challenges such as the healing of cracks in high-Tg polymers and the processing of hard polymers at room temperature without using plasticizing solvents. Here, we demonstrate that light can switch the Tg of azobenzene-containing polymers (azopolymers) and induce reversible solid-to-liquid transitions of the polymers. The azobenzene groups in the polymers exhibit reversible cis–trans photoisomerization abilities. Trans azopolymers are solids with Tg above room temperature, whereas cis azopolymers are liquids with Tg below room temperature. Because of the photoinduced solid-to-liquid transitions of these polymers, light can reduce the surface roughness of azopolymer films by almost 600%, repeatedly heal cracks in azopolymers, and control the adhesion of azopolymers for transfer printing. The photoswitching of Tg provides a new strategy for designing healable polymers with high Tg and allows for control over the mechanical properties of polymers with high spatiotemporal resolution.","container-title":"Nature Chemistry","DOI":"10.1038/nchem.2625","ISSN":"1755-4349","issue":"2","journalAbbreviation":"Nature Chemistry","page":"145-151","title":"Photoswitching of glass transition temperatures of azobenzene-containing polymers induces reversible solid-to-liquid transitions","volume":"9","author":[{"family":"Zhou","given":"Hongwei"},{"family":"Xue","given":"Changguo"},{"family":"Weis","given":"Philipp"},{"family":"Suzuki","given":"Yasuhito"},{"family":"Huang","given":"Shilin"},{"family":"Koynov","given":"Kaloian"},{"family":"Auernhammer","given":"Günter K."},{"family":"Berger","given":"Rüdiger"},{"family":"Butt","given":"Hans-Jürgen"},{"family":"Wu","given":"Si"}],"issued":{"date-parts":[["2017",2,1]]}}}],"schema":"https://github.com/citation-style-language/schema/raw/master/csl-citation.json"} </w:instrText>
      </w:r>
      <w:r w:rsidR="00E95FA9">
        <w:fldChar w:fldCharType="separate"/>
      </w:r>
      <w:r w:rsidR="00E95FA9" w:rsidRPr="00E95FA9">
        <w:rPr>
          <w:vertAlign w:val="superscript"/>
        </w:rPr>
        <w:t>23</w:t>
      </w:r>
      <w:r w:rsidR="00E95FA9">
        <w:fldChar w:fldCharType="end"/>
      </w:r>
      <w:r>
        <w:t xml:space="preserve"> as well as for fluorine-substituted azobenzene derivatives and </w:t>
      </w:r>
      <w:proofErr w:type="spellStart"/>
      <w:r>
        <w:t>arylazopyrazoles</w:t>
      </w:r>
      <w:proofErr w:type="spellEnd"/>
      <w:r>
        <w:t xml:space="preserve"> which switch quantitatively between </w:t>
      </w:r>
      <w:r>
        <w:rPr>
          <w:i/>
        </w:rPr>
        <w:t>E</w:t>
      </w:r>
      <w:r>
        <w:t xml:space="preserve"> and </w:t>
      </w:r>
      <w:r>
        <w:rPr>
          <w:i/>
        </w:rPr>
        <w:t xml:space="preserve">Z </w:t>
      </w:r>
      <w:r>
        <w:t>isomers due to increased separation of the absorption bands.</w:t>
      </w:r>
      <w:r w:rsidR="00E95FA9">
        <w:fldChar w:fldCharType="begin"/>
      </w:r>
      <w:r w:rsidR="00E95FA9">
        <w:instrText xml:space="preserve"> ADDIN ZOTERO_ITEM CSL_CITATION {"citationID":"li2Tm25H","properties":{"formattedCitation":"\\super 28,36\\nosupersub{}","plainCitation":"28,36","noteIndex":0},"citationItems":[{"id":1161,"uris":["http://zotero.org/users/7567464/items/QCXG7LTP"],"itemData":{"id":1161,"type":"article-journal","container-title":"Journal of the American Chemical Society","DOI":"10.1021/ja310323y","ISSN":"0002-7863","issue":"51","journalAbbreviation":"J. Am. Chem. Soc.","note":"publisher: American Chemical Society","page":"20597-20600","title":"o-Fluoroazobenzenes as Readily Synthesized Photoswitches Offering Nearly Quantitative Two-Way Isomerization with Visible Light","volume":"134","author":[{"family":"Bléger","given":"David"},{"family":"Schwarz","given":"Jutta"},{"family":"Brouwer","given":"Albert M."},{"family":"Hecht","given":"Stefan"}],"issued":{"date-parts":[["2012",12,26]]}}},{"id":1176,"uris":["http://zotero.org/users/7567464/items/43AXP3QH"],"itemData":{"id":1176,"type":"article-journal","container-title":"Journal of the American Chemical Society","DOI":"10.1021/ja505444d","ISSN":"0002-7863","issue":"34","journalAbbreviation":"J. Am. Chem. Soc.","note":"publisher: American Chemical Society","page":"11878-11881","title":"Arylazopyrazoles: Azoheteroarene Photoswitches Offering Quantitative Isomerization and Long Thermal Half-Lives","volume":"136","author":[{"family":"Weston","given":"Claire E."},{"family":"Richardson","given":"Robert D."},{"family":"Haycock","given":"Peter R."},{"family":"White","given":"Andrew J. P."},{"family":"Fuchter","given":"Matthew J."}],"issued":{"date-parts":[["2014",8,27]]}}}],"schema":"https://github.com/citation-style-language/schema/raw/master/csl-citation.json"} </w:instrText>
      </w:r>
      <w:r w:rsidR="00E95FA9">
        <w:fldChar w:fldCharType="separate"/>
      </w:r>
      <w:r w:rsidR="00E95FA9" w:rsidRPr="00E95FA9">
        <w:rPr>
          <w:vertAlign w:val="superscript"/>
        </w:rPr>
        <w:t>28,36</w:t>
      </w:r>
      <w:r w:rsidR="00E95FA9">
        <w:fldChar w:fldCharType="end"/>
      </w:r>
    </w:p>
    <w:p w14:paraId="62A077E8" w14:textId="77777777" w:rsidR="00380B92" w:rsidRDefault="00380B92">
      <w:pPr>
        <w:spacing w:line="480" w:lineRule="auto"/>
        <w:jc w:val="center"/>
        <w:rPr>
          <w:sz w:val="16"/>
          <w:szCs w:val="16"/>
        </w:rPr>
      </w:pPr>
    </w:p>
    <w:p w14:paraId="4124E974" w14:textId="77777777" w:rsidR="00380B92" w:rsidRDefault="00380B92">
      <w:pPr>
        <w:spacing w:line="480" w:lineRule="auto"/>
        <w:jc w:val="center"/>
        <w:rPr>
          <w:sz w:val="16"/>
          <w:szCs w:val="16"/>
        </w:rPr>
      </w:pPr>
    </w:p>
    <w:p w14:paraId="401CEFBE" w14:textId="77777777" w:rsidR="00380B92" w:rsidRDefault="00380B92">
      <w:pPr>
        <w:spacing w:line="480" w:lineRule="auto"/>
        <w:jc w:val="center"/>
        <w:rPr>
          <w:sz w:val="16"/>
          <w:szCs w:val="16"/>
        </w:rPr>
      </w:pPr>
    </w:p>
    <w:p w14:paraId="31261561" w14:textId="77777777" w:rsidR="00380B92" w:rsidRDefault="00000000">
      <w:pPr>
        <w:spacing w:line="480" w:lineRule="auto"/>
        <w:jc w:val="center"/>
        <w:rPr>
          <w:sz w:val="16"/>
          <w:szCs w:val="16"/>
        </w:rPr>
      </w:pPr>
      <w:r>
        <w:rPr>
          <w:noProof/>
          <w:sz w:val="16"/>
          <w:szCs w:val="16"/>
        </w:rPr>
        <w:drawing>
          <wp:inline distT="114300" distB="114300" distL="114300" distR="114300" wp14:anchorId="2B82771C" wp14:editId="47203E65">
            <wp:extent cx="2946547" cy="409242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946547" cy="4092426"/>
                    </a:xfrm>
                    <a:prstGeom prst="rect">
                      <a:avLst/>
                    </a:prstGeom>
                    <a:ln/>
                  </pic:spPr>
                </pic:pic>
              </a:graphicData>
            </a:graphic>
          </wp:inline>
        </w:drawing>
      </w:r>
    </w:p>
    <w:p w14:paraId="1D0EFD69" w14:textId="77777777" w:rsidR="00380B92" w:rsidRDefault="00380B92">
      <w:pPr>
        <w:spacing w:line="480" w:lineRule="auto"/>
        <w:jc w:val="center"/>
        <w:rPr>
          <w:sz w:val="16"/>
          <w:szCs w:val="16"/>
        </w:rPr>
      </w:pPr>
    </w:p>
    <w:p w14:paraId="631C7072" w14:textId="77777777" w:rsidR="00380B92" w:rsidRDefault="00000000">
      <w:pPr>
        <w:spacing w:after="200" w:line="480" w:lineRule="auto"/>
        <w:jc w:val="both"/>
        <w:rPr>
          <w:b/>
        </w:rPr>
      </w:pPr>
      <w:r>
        <w:rPr>
          <w:b/>
        </w:rPr>
        <w:t>Figure 3.</w:t>
      </w:r>
      <w:r>
        <w:t xml:space="preserve"> (a) Aromatic regions of </w:t>
      </w:r>
      <w:r>
        <w:rPr>
          <w:vertAlign w:val="superscript"/>
        </w:rPr>
        <w:t>1</w:t>
      </w:r>
      <w:r>
        <w:t xml:space="preserve">H NMR spectra of </w:t>
      </w:r>
      <w:r>
        <w:rPr>
          <w:b/>
        </w:rPr>
        <w:t>1a</w:t>
      </w:r>
      <w:r>
        <w:t xml:space="preserve"> in dichloromethane solution irradiated with 365 nm light for durations between 0 - 105 minutes. Changes in the intensities of the H3 and H4 resonances for the </w:t>
      </w:r>
      <w:r>
        <w:rPr>
          <w:i/>
        </w:rPr>
        <w:t>E</w:t>
      </w:r>
      <w:r>
        <w:t xml:space="preserve"> and </w:t>
      </w:r>
      <w:r>
        <w:rPr>
          <w:i/>
        </w:rPr>
        <w:t>Z</w:t>
      </w:r>
      <w:r>
        <w:t xml:space="preserve"> isomeric states are indicated by arrows. (b) Plot of </w:t>
      </w:r>
      <w:r>
        <w:rPr>
          <w:i/>
        </w:rPr>
        <w:t>Z</w:t>
      </w:r>
      <w:r>
        <w:t xml:space="preserve"> isomer populations as a function of cumulative duration of 365 nm irradiation in dichloromethane solution for all polymers studied.</w:t>
      </w:r>
    </w:p>
    <w:p w14:paraId="5512B44F" w14:textId="77777777" w:rsidR="00380B92" w:rsidRDefault="00380B92">
      <w:pPr>
        <w:spacing w:after="160" w:line="480" w:lineRule="auto"/>
        <w:jc w:val="both"/>
        <w:rPr>
          <w:b/>
        </w:rPr>
      </w:pPr>
    </w:p>
    <w:p w14:paraId="499C0DF2" w14:textId="0BCFB685" w:rsidR="00380B92" w:rsidRDefault="00000000">
      <w:pPr>
        <w:spacing w:after="160" w:line="480" w:lineRule="auto"/>
        <w:jc w:val="both"/>
      </w:pPr>
      <w:proofErr w:type="spellStart"/>
      <w:r>
        <w:rPr>
          <w:b/>
        </w:rPr>
        <w:t>Photoisomerisation</w:t>
      </w:r>
      <w:proofErr w:type="spellEnd"/>
      <w:r>
        <w:rPr>
          <w:b/>
        </w:rPr>
        <w:t xml:space="preserve"> in the solid state. </w:t>
      </w:r>
      <w:r>
        <w:t>Films of the</w:t>
      </w:r>
      <w:r>
        <w:rPr>
          <w:b/>
        </w:rPr>
        <w:t xml:space="preserve"> </w:t>
      </w:r>
      <w:r>
        <w:t>as-prepared polymers were prepared by spin-coating at a concentration of 25 g L</w:t>
      </w:r>
      <w:r w:rsidR="00E95FA9">
        <w:rPr>
          <w:vertAlign w:val="superscript"/>
        </w:rPr>
        <w:t>–</w:t>
      </w:r>
      <w:r>
        <w:rPr>
          <w:vertAlign w:val="superscript"/>
        </w:rPr>
        <w:t xml:space="preserve">1 </w:t>
      </w:r>
      <w:r>
        <w:t xml:space="preserve">from toluene solution, which produced films of an approximate thickness of around 5 µm (see Supporting Information </w:t>
      </w:r>
      <w:r w:rsidR="00E95FA9">
        <w:t>s</w:t>
      </w:r>
      <w:r>
        <w:t xml:space="preserve">ection 6). In contrast to films spin-coated from dichloromethane, films spin-coated from toluene had a smooth and homogenous appearance in optical microscopy and AFM. To investigate the </w:t>
      </w:r>
      <w:r>
        <w:rPr>
          <w:i/>
        </w:rPr>
        <w:t>E</w:t>
      </w:r>
      <w:r>
        <w:t xml:space="preserve"> to </w:t>
      </w:r>
      <w:r>
        <w:rPr>
          <w:i/>
        </w:rPr>
        <w:t>Z</w:t>
      </w:r>
      <w:r>
        <w:t xml:space="preserve"> </w:t>
      </w:r>
      <w:proofErr w:type="spellStart"/>
      <w:r>
        <w:t>photoisomerisation</w:t>
      </w:r>
      <w:proofErr w:type="spellEnd"/>
      <w:r>
        <w:t xml:space="preserve"> in the solid state and quantify the conversion, individual films were irradiated at 365 nm for different lengths of time, dissolved in dichloromethane, and solution </w:t>
      </w:r>
      <w:r>
        <w:rPr>
          <w:vertAlign w:val="superscript"/>
        </w:rPr>
        <w:t>1</w:t>
      </w:r>
      <w:r>
        <w:t>H NMR spectra recorded (S</w:t>
      </w:r>
      <w:r w:rsidR="00E95FA9">
        <w:t xml:space="preserve">upporting </w:t>
      </w:r>
      <w:r>
        <w:t>I</w:t>
      </w:r>
      <w:r w:rsidR="00E95FA9">
        <w:t>nformation section</w:t>
      </w:r>
      <w:r>
        <w:t xml:space="preserve"> 6). Figure 4 shows the </w:t>
      </w:r>
      <w:r>
        <w:rPr>
          <w:i/>
        </w:rPr>
        <w:t>Z</w:t>
      </w:r>
      <w:r>
        <w:t xml:space="preserve"> isomer population calculated from the NMR spectra as a function of irradiation time for all polymers studied. </w:t>
      </w:r>
    </w:p>
    <w:p w14:paraId="02CFCF30" w14:textId="77777777" w:rsidR="00380B92" w:rsidRDefault="00000000">
      <w:pPr>
        <w:spacing w:after="160" w:line="480" w:lineRule="auto"/>
        <w:jc w:val="center"/>
      </w:pPr>
      <w:r>
        <w:rPr>
          <w:noProof/>
        </w:rPr>
        <w:drawing>
          <wp:inline distT="114300" distB="114300" distL="114300" distR="114300" wp14:anchorId="3B067EA3" wp14:editId="0334F3CF">
            <wp:extent cx="3888258" cy="247018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888258" cy="2470187"/>
                    </a:xfrm>
                    <a:prstGeom prst="rect">
                      <a:avLst/>
                    </a:prstGeom>
                    <a:ln/>
                  </pic:spPr>
                </pic:pic>
              </a:graphicData>
            </a:graphic>
          </wp:inline>
        </w:drawing>
      </w:r>
    </w:p>
    <w:p w14:paraId="794C28D8" w14:textId="77777777" w:rsidR="00380B92" w:rsidRDefault="00000000">
      <w:pPr>
        <w:spacing w:after="200" w:line="480" w:lineRule="auto"/>
        <w:jc w:val="both"/>
      </w:pPr>
      <w:r>
        <w:rPr>
          <w:b/>
        </w:rPr>
        <w:t>Figure 4.</w:t>
      </w:r>
      <w:r>
        <w:t xml:space="preserve"> Change of </w:t>
      </w:r>
      <w:r>
        <w:rPr>
          <w:i/>
        </w:rPr>
        <w:t xml:space="preserve">Z </w:t>
      </w:r>
      <w:r>
        <w:t>isomer fractions</w:t>
      </w:r>
      <w:r>
        <w:rPr>
          <w:b/>
          <w:highlight w:val="yellow"/>
        </w:rPr>
        <w:t xml:space="preserve"> </w:t>
      </w:r>
      <w:r>
        <w:rPr>
          <w:highlight w:val="yellow"/>
        </w:rPr>
        <w:t xml:space="preserve">in solid-state spin-coated films of polymers </w:t>
      </w:r>
      <w:r>
        <w:rPr>
          <w:b/>
          <w:highlight w:val="yellow"/>
        </w:rPr>
        <w:t>1a/b</w:t>
      </w:r>
      <w:r>
        <w:rPr>
          <w:highlight w:val="yellow"/>
        </w:rPr>
        <w:t xml:space="preserve">, </w:t>
      </w:r>
      <w:r>
        <w:rPr>
          <w:b/>
          <w:highlight w:val="yellow"/>
        </w:rPr>
        <w:t>2a/</w:t>
      </w:r>
      <w:proofErr w:type="gramStart"/>
      <w:r>
        <w:rPr>
          <w:b/>
          <w:highlight w:val="yellow"/>
        </w:rPr>
        <w:t>b</w:t>
      </w:r>
      <w:proofErr w:type="gramEnd"/>
      <w:r>
        <w:rPr>
          <w:highlight w:val="yellow"/>
        </w:rPr>
        <w:t xml:space="preserve"> and </w:t>
      </w:r>
      <w:r>
        <w:rPr>
          <w:b/>
          <w:highlight w:val="yellow"/>
        </w:rPr>
        <w:t>3a/b</w:t>
      </w:r>
      <w:r>
        <w:rPr>
          <w:highlight w:val="yellow"/>
        </w:rPr>
        <w:t xml:space="preserve"> as a function of duration of irradiation with 365 nm light. E</w:t>
      </w:r>
      <w:r>
        <w:t xml:space="preserve">ach data point corresponds to a unique film. </w:t>
      </w:r>
    </w:p>
    <w:p w14:paraId="79C7E073" w14:textId="2F7CF8DD" w:rsidR="00380B92" w:rsidRDefault="00000000">
      <w:pPr>
        <w:spacing w:after="200" w:line="480" w:lineRule="auto"/>
        <w:jc w:val="both"/>
      </w:pPr>
      <w:r>
        <w:rPr>
          <w:highlight w:val="yellow"/>
        </w:rPr>
        <w:t xml:space="preserve">Interestingly, the </w:t>
      </w:r>
      <w:proofErr w:type="spellStart"/>
      <w:r>
        <w:rPr>
          <w:highlight w:val="yellow"/>
        </w:rPr>
        <w:t>build up</w:t>
      </w:r>
      <w:proofErr w:type="spellEnd"/>
      <w:r>
        <w:rPr>
          <w:highlight w:val="yellow"/>
        </w:rPr>
        <w:t xml:space="preserve"> of </w:t>
      </w:r>
      <w:r>
        <w:rPr>
          <w:i/>
          <w:highlight w:val="yellow"/>
        </w:rPr>
        <w:t>Z</w:t>
      </w:r>
      <w:r>
        <w:rPr>
          <w:highlight w:val="yellow"/>
        </w:rPr>
        <w:t xml:space="preserve"> isomers happens on an even faster timescale than in solution (</w:t>
      </w:r>
      <w:r>
        <w:rPr>
          <w:i/>
          <w:highlight w:val="yellow"/>
        </w:rPr>
        <w:t>c.f.</w:t>
      </w:r>
      <w:r>
        <w:rPr>
          <w:highlight w:val="yellow"/>
        </w:rPr>
        <w:t xml:space="preserve"> Figure 3), with polymers reaching PSSs within approximately 2 minutes of irradiation. The precise timescale is likely to be influenced by the film thickness and light intensity, so the specific kinetics </w:t>
      </w:r>
      <w:r>
        <w:rPr>
          <w:highlight w:val="yellow"/>
        </w:rPr>
        <w:lastRenderedPageBreak/>
        <w:t xml:space="preserve">observed here are unlikely to be a general case. However, the deposition of polymer films does not appear to significantly reduce the timescale of switching - and indeed in this case even appears to hasten it. </w:t>
      </w:r>
      <w:r>
        <w:t xml:space="preserve">After 15 minutes, the solid-state films of </w:t>
      </w:r>
      <w:r>
        <w:rPr>
          <w:b/>
        </w:rPr>
        <w:t>1a</w:t>
      </w:r>
      <w:r>
        <w:t xml:space="preserve"> and </w:t>
      </w:r>
      <w:r>
        <w:rPr>
          <w:b/>
        </w:rPr>
        <w:t xml:space="preserve">1b </w:t>
      </w:r>
      <w:r>
        <w:t xml:space="preserve">show conversion to 56% and 43% </w:t>
      </w:r>
      <w:r>
        <w:rPr>
          <w:i/>
        </w:rPr>
        <w:t xml:space="preserve">Z </w:t>
      </w:r>
      <w:r>
        <w:t>isomer, respectively. The values are significantly reduced compared to the solution-state PSS values of 77% and 75% (</w:t>
      </w:r>
      <w:r>
        <w:rPr>
          <w:i/>
        </w:rPr>
        <w:t>vide supra</w:t>
      </w:r>
      <w:r>
        <w:t xml:space="preserve">). For </w:t>
      </w:r>
      <w:r>
        <w:rPr>
          <w:b/>
        </w:rPr>
        <w:t>2a</w:t>
      </w:r>
      <w:r>
        <w:t xml:space="preserve"> and </w:t>
      </w:r>
      <w:r>
        <w:rPr>
          <w:b/>
        </w:rPr>
        <w:t>2b</w:t>
      </w:r>
      <w:r>
        <w:t>, significantly higher PSSs of 85%</w:t>
      </w:r>
      <w:r>
        <w:rPr>
          <w:b/>
        </w:rPr>
        <w:t xml:space="preserve"> </w:t>
      </w:r>
      <w:r>
        <w:t xml:space="preserve">and 80% </w:t>
      </w:r>
      <w:r>
        <w:rPr>
          <w:i/>
        </w:rPr>
        <w:t xml:space="preserve">Z </w:t>
      </w:r>
      <w:r>
        <w:t xml:space="preserve">isomer are observed, and for </w:t>
      </w:r>
      <w:r>
        <w:rPr>
          <w:b/>
        </w:rPr>
        <w:t>3a</w:t>
      </w:r>
      <w:r>
        <w:t xml:space="preserve"> and </w:t>
      </w:r>
      <w:r>
        <w:rPr>
          <w:b/>
        </w:rPr>
        <w:t>3b</w:t>
      </w:r>
      <w:r>
        <w:t xml:space="preserve"> the solid-state PSS values after 15 hours irradiation were found to be 97% and 96% </w:t>
      </w:r>
      <w:r>
        <w:rPr>
          <w:i/>
        </w:rPr>
        <w:t xml:space="preserve">Z </w:t>
      </w:r>
      <w:r>
        <w:t xml:space="preserve">isomer, which is equal to the solution-state. These results suggest that the inclusion of the alkoxy linker in </w:t>
      </w:r>
      <w:r>
        <w:rPr>
          <w:b/>
        </w:rPr>
        <w:t>2a</w:t>
      </w:r>
      <w:r>
        <w:t>/</w:t>
      </w:r>
      <w:r>
        <w:rPr>
          <w:b/>
        </w:rPr>
        <w:t>b</w:t>
      </w:r>
      <w:r>
        <w:t xml:space="preserve"> and </w:t>
      </w:r>
      <w:r>
        <w:rPr>
          <w:b/>
        </w:rPr>
        <w:t>3a</w:t>
      </w:r>
      <w:r>
        <w:t>/</w:t>
      </w:r>
      <w:r>
        <w:rPr>
          <w:b/>
        </w:rPr>
        <w:t>b</w:t>
      </w:r>
      <w:r>
        <w:t xml:space="preserve"> has a marked effect on the PSS achievable under 365 nm irradiation. This may be attributed to the increased π-π* band separation in </w:t>
      </w:r>
      <w:r>
        <w:rPr>
          <w:b/>
        </w:rPr>
        <w:t>2a</w:t>
      </w:r>
      <w:r>
        <w:t>/</w:t>
      </w:r>
      <w:r>
        <w:rPr>
          <w:b/>
        </w:rPr>
        <w:t>b</w:t>
      </w:r>
      <w:r>
        <w:t xml:space="preserve"> and </w:t>
      </w:r>
      <w:r>
        <w:rPr>
          <w:b/>
        </w:rPr>
        <w:t>3a</w:t>
      </w:r>
      <w:r>
        <w:t>/</w:t>
      </w:r>
      <w:r>
        <w:rPr>
          <w:b/>
        </w:rPr>
        <w:t>b</w:t>
      </w:r>
      <w:r>
        <w:t xml:space="preserve"> which leads to better penetration of 365 nm light through the film because far fewer </w:t>
      </w:r>
      <w:r>
        <w:rPr>
          <w:i/>
        </w:rPr>
        <w:t>E</w:t>
      </w:r>
      <w:r>
        <w:t xml:space="preserve"> isomers remain in the irradiated portion of the film, and the Z isomers that are formed under irradiation do not significantly absorb at 365 nm. However, the reduced </w:t>
      </w:r>
      <w:proofErr w:type="spellStart"/>
      <w:r>
        <w:t>T</w:t>
      </w:r>
      <w:r>
        <w:rPr>
          <w:vertAlign w:val="subscript"/>
        </w:rPr>
        <w:t>g</w:t>
      </w:r>
      <w:proofErr w:type="spellEnd"/>
      <w:r>
        <w:t xml:space="preserve"> values for the linker-containing polymers may also contribute by imparting more local mobility to the </w:t>
      </w:r>
      <w:proofErr w:type="spellStart"/>
      <w:r>
        <w:t>sidegroups</w:t>
      </w:r>
      <w:proofErr w:type="spellEnd"/>
      <w:r>
        <w:t xml:space="preserve">. Indeed, there appears to be a trend of increasing PSS in the solid state with decreasing </w:t>
      </w:r>
      <w:proofErr w:type="spellStart"/>
      <w:r>
        <w:t>T</w:t>
      </w:r>
      <w:r>
        <w:rPr>
          <w:vertAlign w:val="subscript"/>
        </w:rPr>
        <w:t>g</w:t>
      </w:r>
      <w:proofErr w:type="spellEnd"/>
      <w:r>
        <w:t xml:space="preserve">; expected in so much as a lower </w:t>
      </w:r>
      <w:proofErr w:type="spellStart"/>
      <w:r>
        <w:t>T</w:t>
      </w:r>
      <w:r>
        <w:rPr>
          <w:vertAlign w:val="subscript"/>
        </w:rPr>
        <w:t>g</w:t>
      </w:r>
      <w:proofErr w:type="spellEnd"/>
      <w:r>
        <w:t xml:space="preserve"> value reflects the increased mobility and free volume a linker of increasing length imparts. The polymers </w:t>
      </w:r>
      <w:r>
        <w:rPr>
          <w:b/>
        </w:rPr>
        <w:t>2b</w:t>
      </w:r>
      <w:r>
        <w:t xml:space="preserve"> (</w:t>
      </w:r>
      <w:proofErr w:type="spellStart"/>
      <w:r>
        <w:t>T</w:t>
      </w:r>
      <w:r>
        <w:rPr>
          <w:vertAlign w:val="subscript"/>
        </w:rPr>
        <w:t>g</w:t>
      </w:r>
      <w:proofErr w:type="spellEnd"/>
      <w:r>
        <w:t xml:space="preserve"> 48 °C, PSS 80%) and </w:t>
      </w:r>
      <w:r>
        <w:rPr>
          <w:b/>
        </w:rPr>
        <w:t>3a</w:t>
      </w:r>
      <w:r>
        <w:t xml:space="preserve"> (</w:t>
      </w:r>
      <w:proofErr w:type="spellStart"/>
      <w:r>
        <w:t>T</w:t>
      </w:r>
      <w:r>
        <w:rPr>
          <w:vertAlign w:val="subscript"/>
        </w:rPr>
        <w:t>g</w:t>
      </w:r>
      <w:proofErr w:type="spellEnd"/>
      <w:r>
        <w:t xml:space="preserve"> 55 °C, PSS 96%) do not follow this trend, which could reflect </w:t>
      </w:r>
      <w:proofErr w:type="spellStart"/>
      <w:r>
        <w:t>T</w:t>
      </w:r>
      <w:r>
        <w:rPr>
          <w:vertAlign w:val="subscript"/>
        </w:rPr>
        <w:t>g</w:t>
      </w:r>
      <w:proofErr w:type="spellEnd"/>
      <w:r>
        <w:t xml:space="preserve"> being determined by overall chain-segment mobility, rather than the mobility and free volume of the azobenzene side groups alone. We note that there are significant variations in the measured </w:t>
      </w:r>
      <w:r>
        <w:rPr>
          <w:i/>
        </w:rPr>
        <w:t>Z</w:t>
      </w:r>
      <w:r>
        <w:t xml:space="preserve"> isomer populations over the irradiation period, particularly for </w:t>
      </w:r>
      <w:r>
        <w:rPr>
          <w:b/>
        </w:rPr>
        <w:t>3a</w:t>
      </w:r>
      <w:r>
        <w:t xml:space="preserve"> and </w:t>
      </w:r>
      <w:r>
        <w:rPr>
          <w:b/>
        </w:rPr>
        <w:t>3b</w:t>
      </w:r>
      <w:r>
        <w:t xml:space="preserve">. </w:t>
      </w:r>
      <w:r>
        <w:rPr>
          <w:highlight w:val="yellow"/>
        </w:rPr>
        <w:t xml:space="preserve">For each data point in Figure 4, a separate spin-coated film was studied. However, for each polymer, the spin-coated films were deposited from the same solution. Therefore, we attribute the observed variations in </w:t>
      </w:r>
      <w:r>
        <w:rPr>
          <w:i/>
          <w:highlight w:val="yellow"/>
        </w:rPr>
        <w:t>Z</w:t>
      </w:r>
      <w:r>
        <w:rPr>
          <w:highlight w:val="yellow"/>
        </w:rPr>
        <w:t xml:space="preserve"> isomer populations to variations in film thickness between samples and/or inhomogeneities resulting from the spin coating process.</w:t>
      </w:r>
      <w:r>
        <w:t xml:space="preserve"> However, the results show that despite these factors, it is possible to achieve high photoconversion for polymers containing linker groups, and for </w:t>
      </w:r>
      <w:r>
        <w:rPr>
          <w:b/>
        </w:rPr>
        <w:t>3a/b</w:t>
      </w:r>
      <w:r>
        <w:t xml:space="preserve"> the photoconversion is not limited by the film thickness. </w:t>
      </w:r>
    </w:p>
    <w:p w14:paraId="03FAA7F9" w14:textId="77777777" w:rsidR="00380B92" w:rsidRDefault="00380B92">
      <w:pPr>
        <w:spacing w:after="160" w:line="480" w:lineRule="auto"/>
        <w:jc w:val="both"/>
        <w:rPr>
          <w:b/>
        </w:rPr>
      </w:pPr>
    </w:p>
    <w:p w14:paraId="420AA93D" w14:textId="77777777" w:rsidR="00380B92" w:rsidRDefault="00000000">
      <w:pPr>
        <w:spacing w:after="160" w:line="480" w:lineRule="auto"/>
        <w:jc w:val="both"/>
      </w:pPr>
      <w:r>
        <w:rPr>
          <w:b/>
        </w:rPr>
        <w:t xml:space="preserve">Solid-state thermal reconversion kinetics. </w:t>
      </w:r>
      <w:r>
        <w:t>The required lifetime of the metastable state in a STF material depends upon the specific application; however, lifetimes of at least tens of hours or days would be desirable for applications involving daily repeat energy storage-release cycles. The energy storage lifetime of a STF device can be parameterised by the spontaneous thermal relaxation rate of the metastable state when stored at ambient temperature in the dark. To a first approximation, the thermal relaxation behaviour would be expected to follow first-order kinetics described by Eq. 1,</w:t>
      </w:r>
    </w:p>
    <w:p w14:paraId="2E0B6254" w14:textId="77777777" w:rsidR="00380B92" w:rsidRDefault="00000000">
      <w:pPr>
        <w:spacing w:after="160" w:line="480" w:lineRule="auto"/>
        <w:jc w:val="right"/>
      </w:pPr>
      <w:r>
        <w:t>ln(I(</w:t>
      </w:r>
      <w:r>
        <w:rPr>
          <w:i/>
        </w:rPr>
        <w:t>t</w:t>
      </w:r>
      <w:r>
        <w:t>)/I</w:t>
      </w:r>
      <w:r>
        <w:rPr>
          <w:vertAlign w:val="subscript"/>
        </w:rPr>
        <w:t>0</w:t>
      </w:r>
      <w:r>
        <w:t xml:space="preserve">) = </w:t>
      </w:r>
      <w:proofErr w:type="spellStart"/>
      <w:r>
        <w:rPr>
          <w:i/>
        </w:rPr>
        <w:t>k</w:t>
      </w:r>
      <w:r>
        <w:rPr>
          <w:vertAlign w:val="subscript"/>
        </w:rPr>
        <w:t>rev</w:t>
      </w:r>
      <w:r>
        <w:rPr>
          <w:i/>
        </w:rPr>
        <w:t>t</w:t>
      </w:r>
      <w:proofErr w:type="spellEnd"/>
      <w:r>
        <w:tab/>
      </w:r>
      <w:r>
        <w:tab/>
      </w:r>
      <w:r>
        <w:tab/>
      </w:r>
      <w:r>
        <w:tab/>
      </w:r>
      <w:r>
        <w:tab/>
      </w:r>
      <w:r>
        <w:tab/>
      </w:r>
      <w:r>
        <w:tab/>
        <w:t>(1)</w:t>
      </w:r>
    </w:p>
    <w:p w14:paraId="05C7E9D7" w14:textId="77777777" w:rsidR="00380B92" w:rsidRDefault="00000000">
      <w:pPr>
        <w:spacing w:after="160" w:line="480" w:lineRule="auto"/>
        <w:jc w:val="both"/>
      </w:pPr>
      <w:r>
        <w:t>where I</w:t>
      </w:r>
      <w:r>
        <w:rPr>
          <w:vertAlign w:val="subscript"/>
        </w:rPr>
        <w:t>0</w:t>
      </w:r>
      <w:r>
        <w:t xml:space="preserve"> is the initial </w:t>
      </w:r>
      <w:r>
        <w:rPr>
          <w:i/>
        </w:rPr>
        <w:t>Z</w:t>
      </w:r>
      <w:r>
        <w:t xml:space="preserve"> isomer population, I(</w:t>
      </w:r>
      <w:r>
        <w:rPr>
          <w:i/>
        </w:rPr>
        <w:t>t</w:t>
      </w:r>
      <w:r>
        <w:t xml:space="preserve">) </w:t>
      </w:r>
      <w:proofErr w:type="gramStart"/>
      <w:r>
        <w:t>is</w:t>
      </w:r>
      <w:proofErr w:type="gramEnd"/>
      <w:r>
        <w:t xml:space="preserve"> the </w:t>
      </w:r>
      <w:r>
        <w:rPr>
          <w:i/>
        </w:rPr>
        <w:t>Z</w:t>
      </w:r>
      <w:r>
        <w:t xml:space="preserve"> isomer population at time </w:t>
      </w:r>
      <w:r>
        <w:rPr>
          <w:i/>
        </w:rPr>
        <w:t>t</w:t>
      </w:r>
      <w:r>
        <w:t xml:space="preserve">, and </w:t>
      </w:r>
      <w:proofErr w:type="spellStart"/>
      <w:r>
        <w:rPr>
          <w:i/>
        </w:rPr>
        <w:t>k</w:t>
      </w:r>
      <w:r>
        <w:rPr>
          <w:vertAlign w:val="subscript"/>
        </w:rPr>
        <w:t>rev</w:t>
      </w:r>
      <w:proofErr w:type="spellEnd"/>
      <w:r>
        <w:t xml:space="preserve"> is the first-order rate constant describing the thermal reconversion process. To quantify the reconversion, irradiated solid state samples were kept in the dark at room temperature, portions of the sample taken at specific times, dissolved in dichloromethane, and a solution </w:t>
      </w:r>
      <w:r>
        <w:rPr>
          <w:vertAlign w:val="superscript"/>
        </w:rPr>
        <w:t>1</w:t>
      </w:r>
      <w:r>
        <w:t xml:space="preserve">H NMR spectrum recorded (see Supporting Information section 5). </w:t>
      </w:r>
    </w:p>
    <w:p w14:paraId="61628EDB" w14:textId="4B0175B9" w:rsidR="00380B92" w:rsidRDefault="00000000">
      <w:pPr>
        <w:spacing w:after="160" w:line="480" w:lineRule="auto"/>
        <w:jc w:val="both"/>
      </w:pPr>
      <w:r>
        <w:t>Figure 5 shows ln(I(t)/I</w:t>
      </w:r>
      <w:r>
        <w:rPr>
          <w:vertAlign w:val="subscript"/>
        </w:rPr>
        <w:t>0</w:t>
      </w:r>
      <w:r>
        <w:t xml:space="preserve">) measured by </w:t>
      </w:r>
      <w:r>
        <w:rPr>
          <w:vertAlign w:val="superscript"/>
        </w:rPr>
        <w:t>1</w:t>
      </w:r>
      <w:r>
        <w:t xml:space="preserve">H NMR as a function of time for all polymers studied as well as the corresponding half-lives, </w:t>
      </w:r>
      <w:r>
        <w:rPr>
          <w:i/>
        </w:rPr>
        <w:t>t</w:t>
      </w:r>
      <w:r>
        <w:rPr>
          <w:vertAlign w:val="subscript"/>
        </w:rPr>
        <w:t>1/2</w:t>
      </w:r>
      <w:r>
        <w:t xml:space="preserve">. Good agreement with first-order kinetics is observed, and the polymers </w:t>
      </w:r>
      <w:r>
        <w:rPr>
          <w:b/>
        </w:rPr>
        <w:t>1a</w:t>
      </w:r>
      <w:r>
        <w:t xml:space="preserve"> and </w:t>
      </w:r>
      <w:r>
        <w:rPr>
          <w:b/>
        </w:rPr>
        <w:t>1b</w:t>
      </w:r>
      <w:r>
        <w:t xml:space="preserve"> show similar half-lives of 7.0 and 6.7 days, respectively. </w:t>
      </w:r>
      <w:r w:rsidR="00BA1E72" w:rsidRPr="00BA1E72">
        <w:rPr>
          <w:highlight w:val="yellow"/>
        </w:rPr>
        <w:t>T</w:t>
      </w:r>
      <w:r w:rsidR="00BA1E72" w:rsidRPr="00BA1E72">
        <w:rPr>
          <w:highlight w:val="yellow"/>
        </w:rPr>
        <w:t xml:space="preserve">here does not appear to be a correlation between the reconversion kinetics and molecular weight. In the synthesis of this series of polymers, different molecular weight averages were observed for the </w:t>
      </w:r>
      <w:proofErr w:type="spellStart"/>
      <w:r w:rsidR="00BA1E72" w:rsidRPr="00BA1E72">
        <w:rPr>
          <w:highlight w:val="yellow"/>
        </w:rPr>
        <w:t>methacrylates</w:t>
      </w:r>
      <w:proofErr w:type="spellEnd"/>
      <w:r w:rsidR="00BA1E72" w:rsidRPr="00BA1E72">
        <w:rPr>
          <w:highlight w:val="yellow"/>
        </w:rPr>
        <w:t xml:space="preserve"> compared to the acrylates, with the </w:t>
      </w:r>
      <w:proofErr w:type="spellStart"/>
      <w:r w:rsidR="00BA1E72" w:rsidRPr="00BA1E72">
        <w:rPr>
          <w:highlight w:val="yellow"/>
        </w:rPr>
        <w:t>methacrylates</w:t>
      </w:r>
      <w:proofErr w:type="spellEnd"/>
      <w:r w:rsidR="00BA1E72" w:rsidRPr="00BA1E72">
        <w:rPr>
          <w:highlight w:val="yellow"/>
        </w:rPr>
        <w:t xml:space="preserve"> showing somewhat higher molecular weight averages than the acrylates as expected (Supporting Information section 2.2). For polymers </w:t>
      </w:r>
      <w:r w:rsidR="00BA1E72" w:rsidRPr="00BA1E72">
        <w:rPr>
          <w:b/>
          <w:bCs/>
          <w:highlight w:val="yellow"/>
        </w:rPr>
        <w:t>1a/b</w:t>
      </w:r>
      <w:r w:rsidR="00BA1E72" w:rsidRPr="00BA1E72">
        <w:rPr>
          <w:highlight w:val="yellow"/>
        </w:rPr>
        <w:t xml:space="preserve"> and </w:t>
      </w:r>
      <w:r w:rsidR="00BA1E72" w:rsidRPr="00BA1E72">
        <w:rPr>
          <w:b/>
          <w:bCs/>
          <w:highlight w:val="yellow"/>
        </w:rPr>
        <w:t>3a/b</w:t>
      </w:r>
      <w:r w:rsidR="00BA1E72" w:rsidRPr="00BA1E72">
        <w:rPr>
          <w:highlight w:val="yellow"/>
        </w:rPr>
        <w:t xml:space="preserve">, the </w:t>
      </w:r>
      <w:proofErr w:type="spellStart"/>
      <w:r w:rsidR="00BA1E72" w:rsidRPr="00BA1E72">
        <w:rPr>
          <w:highlight w:val="yellow"/>
        </w:rPr>
        <w:t>methacrylates</w:t>
      </w:r>
      <w:proofErr w:type="spellEnd"/>
      <w:r w:rsidR="00BA1E72" w:rsidRPr="00BA1E72">
        <w:rPr>
          <w:highlight w:val="yellow"/>
        </w:rPr>
        <w:t xml:space="preserve"> show faster reconversion but for polymers </w:t>
      </w:r>
      <w:r w:rsidR="00BA1E72" w:rsidRPr="00BA1E72">
        <w:rPr>
          <w:b/>
          <w:bCs/>
          <w:highlight w:val="yellow"/>
        </w:rPr>
        <w:t>2a/b</w:t>
      </w:r>
      <w:r w:rsidR="00BA1E72" w:rsidRPr="00BA1E72">
        <w:rPr>
          <w:highlight w:val="yellow"/>
        </w:rPr>
        <w:t>, the acrylate shows faster reconversion, so there is no trend in molecular weight reflected in the reconversion data.</w:t>
      </w:r>
      <w:r w:rsidR="00BA1E72">
        <w:t xml:space="preserve"> However, t</w:t>
      </w:r>
      <w:r>
        <w:t>he introduction of the C</w:t>
      </w:r>
      <w:r>
        <w:rPr>
          <w:vertAlign w:val="subscript"/>
        </w:rPr>
        <w:t>2</w:t>
      </w:r>
      <w:r>
        <w:t>H</w:t>
      </w:r>
      <w:r>
        <w:rPr>
          <w:vertAlign w:val="subscript"/>
        </w:rPr>
        <w:t>4</w:t>
      </w:r>
      <w:r>
        <w:t xml:space="preserve"> linker increases the rate of spontaneous </w:t>
      </w:r>
      <w:r>
        <w:lastRenderedPageBreak/>
        <w:t xml:space="preserve">thermal reconversion, reducing the half-lives for </w:t>
      </w:r>
      <w:r>
        <w:rPr>
          <w:b/>
        </w:rPr>
        <w:t xml:space="preserve">2a </w:t>
      </w:r>
      <w:r>
        <w:t xml:space="preserve">and </w:t>
      </w:r>
      <w:r>
        <w:rPr>
          <w:b/>
        </w:rPr>
        <w:t>2b</w:t>
      </w:r>
      <w:r>
        <w:t xml:space="preserve"> to 5.2 and 5.9 days, respectively. The introduction of the C</w:t>
      </w:r>
      <w:r>
        <w:rPr>
          <w:vertAlign w:val="subscript"/>
        </w:rPr>
        <w:t>4</w:t>
      </w:r>
      <w:r>
        <w:t>H</w:t>
      </w:r>
      <w:r>
        <w:rPr>
          <w:vertAlign w:val="subscript"/>
        </w:rPr>
        <w:t>8</w:t>
      </w:r>
      <w:r>
        <w:t xml:space="preserve"> linker further reduces the half-lives of </w:t>
      </w:r>
      <w:r>
        <w:rPr>
          <w:b/>
        </w:rPr>
        <w:t>3a</w:t>
      </w:r>
      <w:r>
        <w:t xml:space="preserve"> and </w:t>
      </w:r>
      <w:r>
        <w:rPr>
          <w:b/>
        </w:rPr>
        <w:t>3b</w:t>
      </w:r>
      <w:r>
        <w:t xml:space="preserve"> to 3.6 and 3.3 days, respectively. This suggests that the presence of the linker lowers the activation energy barrier for </w:t>
      </w:r>
      <w:r>
        <w:rPr>
          <w:i/>
        </w:rPr>
        <w:t xml:space="preserve">Z </w:t>
      </w:r>
      <w:r>
        <w:t xml:space="preserve">to </w:t>
      </w:r>
      <w:r>
        <w:rPr>
          <w:i/>
        </w:rPr>
        <w:t>E</w:t>
      </w:r>
      <w:r>
        <w:t xml:space="preserve"> reconversion, and increasing the length of the linker lowers it further. In line with the solid-state irradiation results, it is noteworthy that </w:t>
      </w:r>
      <w:r>
        <w:rPr>
          <w:b/>
        </w:rPr>
        <w:t>2b</w:t>
      </w:r>
      <w:r>
        <w:t xml:space="preserve"> (</w:t>
      </w:r>
      <w:proofErr w:type="spellStart"/>
      <w:r>
        <w:t>T</w:t>
      </w:r>
      <w:r>
        <w:rPr>
          <w:vertAlign w:val="subscript"/>
        </w:rPr>
        <w:t>g</w:t>
      </w:r>
      <w:proofErr w:type="spellEnd"/>
      <w:r>
        <w:t xml:space="preserve"> 48 °C) has a significantly longer half-life than </w:t>
      </w:r>
      <w:r>
        <w:rPr>
          <w:b/>
        </w:rPr>
        <w:t>3a</w:t>
      </w:r>
      <w:r>
        <w:t xml:space="preserve"> (</w:t>
      </w:r>
      <w:proofErr w:type="spellStart"/>
      <w:r>
        <w:t>T</w:t>
      </w:r>
      <w:r>
        <w:rPr>
          <w:vertAlign w:val="subscript"/>
        </w:rPr>
        <w:t>g</w:t>
      </w:r>
      <w:proofErr w:type="spellEnd"/>
      <w:r>
        <w:t xml:space="preserve"> 55 °C), showing that the </w:t>
      </w:r>
      <w:proofErr w:type="spellStart"/>
      <w:r>
        <w:t>T</w:t>
      </w:r>
      <w:r>
        <w:rPr>
          <w:vertAlign w:val="subscript"/>
        </w:rPr>
        <w:t>g</w:t>
      </w:r>
      <w:proofErr w:type="spellEnd"/>
      <w:r>
        <w:t xml:space="preserve"> of the unirradiated polymers does not directly correlate with the reconversion kinetics. This implies that the backbone mobility of the polymer is not a primary factor in determining the reconversion kinetics whereas the local mobility and free volume of the azobenzene side group (influenced by the linker length) has the overriding influence. </w:t>
      </w:r>
    </w:p>
    <w:p w14:paraId="190241D9" w14:textId="77777777" w:rsidR="00380B92" w:rsidRDefault="00000000">
      <w:pPr>
        <w:spacing w:after="380" w:line="480" w:lineRule="auto"/>
        <w:jc w:val="center"/>
      </w:pPr>
      <w:r>
        <w:rPr>
          <w:noProof/>
        </w:rPr>
        <w:drawing>
          <wp:inline distT="114300" distB="114300" distL="114300" distR="114300" wp14:anchorId="2179EF58" wp14:editId="5DDFBDB7">
            <wp:extent cx="4843463" cy="2701162"/>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843463" cy="2701162"/>
                    </a:xfrm>
                    <a:prstGeom prst="rect">
                      <a:avLst/>
                    </a:prstGeom>
                    <a:ln/>
                  </pic:spPr>
                </pic:pic>
              </a:graphicData>
            </a:graphic>
          </wp:inline>
        </w:drawing>
      </w:r>
    </w:p>
    <w:p w14:paraId="06A4F1EF" w14:textId="77777777" w:rsidR="00380B92" w:rsidRDefault="00000000">
      <w:pPr>
        <w:spacing w:after="200" w:line="480" w:lineRule="auto"/>
        <w:jc w:val="both"/>
      </w:pPr>
      <w:r>
        <w:rPr>
          <w:b/>
        </w:rPr>
        <w:t>Figure 5.</w:t>
      </w:r>
      <w:r>
        <w:t xml:space="preserve"> Reconversion kinetics of solid-state samples of </w:t>
      </w:r>
      <w:r>
        <w:rPr>
          <w:b/>
        </w:rPr>
        <w:t xml:space="preserve">1a/b </w:t>
      </w:r>
      <w:r>
        <w:t xml:space="preserve">- </w:t>
      </w:r>
      <w:r>
        <w:rPr>
          <w:b/>
        </w:rPr>
        <w:t xml:space="preserve">3a/b </w:t>
      </w:r>
      <w:r>
        <w:t xml:space="preserve">stored </w:t>
      </w:r>
      <w:r>
        <w:rPr>
          <w:highlight w:val="yellow"/>
        </w:rPr>
        <w:t>at ambient temperature</w:t>
      </w:r>
      <w:r>
        <w:t xml:space="preserve"> in the dark.</w:t>
      </w:r>
    </w:p>
    <w:p w14:paraId="00E217F9" w14:textId="77777777" w:rsidR="00380B92" w:rsidRDefault="00380B92">
      <w:pPr>
        <w:spacing w:after="160" w:line="480" w:lineRule="auto"/>
        <w:jc w:val="both"/>
      </w:pPr>
    </w:p>
    <w:p w14:paraId="7CBE5D22" w14:textId="0DE1AA43" w:rsidR="00380B92" w:rsidRDefault="00000000">
      <w:pPr>
        <w:spacing w:after="160" w:line="480" w:lineRule="auto"/>
        <w:jc w:val="both"/>
      </w:pPr>
      <w:r>
        <w:rPr>
          <w:b/>
        </w:rPr>
        <w:t xml:space="preserve">Thermal properties. </w:t>
      </w:r>
      <w:r>
        <w:t xml:space="preserve">We investigated the thermal properties of the six polymers by differential scanning calorimetry (DSC) in the as-prepared state and after 365 nm irradiation in solution. </w:t>
      </w:r>
      <w:proofErr w:type="spellStart"/>
      <w:r>
        <w:t>T</w:t>
      </w:r>
      <w:r>
        <w:rPr>
          <w:vertAlign w:val="subscript"/>
        </w:rPr>
        <w:t>g</w:t>
      </w:r>
      <w:proofErr w:type="spellEnd"/>
      <w:r>
        <w:t xml:space="preserve"> values for the as-prepared samples are reported in Figure 1 and Table 2 (see Supporting </w:t>
      </w:r>
      <w:r>
        <w:lastRenderedPageBreak/>
        <w:t xml:space="preserve">Information section 7). For the DSC investigations of irradiated solid-state polymer samples, samples of as-prepared polymers were dissolved in dichloromethane and irradiated with 365 nm light for 60 minutes to reach the PSS before the solvent was removed under vacuum at ambient temperature in the dark. The resulting solids were transferred to DSC pans for analysis. Figure 6 shows heating and cooling thermograms of each irradiated polymer sample. On the heating step, broad exothermic thermal features are observed between 60 °C and 130 °C for each polymer, which we attribute to the thermally driven </w:t>
      </w:r>
      <w:r>
        <w:rPr>
          <w:i/>
        </w:rPr>
        <w:t>Z</w:t>
      </w:r>
      <w:r>
        <w:t xml:space="preserve"> to </w:t>
      </w:r>
      <w:r>
        <w:rPr>
          <w:i/>
        </w:rPr>
        <w:t xml:space="preserve">E </w:t>
      </w:r>
      <w:r>
        <w:t>isomerization of the azobenzene sidegroups.</w:t>
      </w:r>
      <w:r w:rsidR="00AD41AB">
        <w:fldChar w:fldCharType="begin"/>
      </w:r>
      <w:r w:rsidR="00AD41AB">
        <w:instrText xml:space="preserve"> ADDIN ZOTERO_ITEM CSL_CITATION {"citationID":"O3OllXEr","properties":{"formattedCitation":"\\super 26\\nosupersub{}","plainCitation":"26","noteIndex":0},"citationItems":[{"id":1129,"uris":["http://zotero.org/users/7567464/items/LQMSLSTB"],"itemData":{"id":1129,"type":"article-journal","abstract":"Closed cycle systems offer an opportunity for solar energy harvesting and storage all within the same material. Photon energy is stored within the chemical conformations of molecules and is retrieved by a triggered release in the form of heat. Until now, such solar thermal fuels (STFs) have been largely unavailable in the solid-state, which would enable them to be utilized for a multitude of applications. A polymer STF storage platform is synthesized employing STFs in the solid-state. This approach enables uniform films capable of appreciable heat storage of up to 30 Wh kg?1 and that can withstand temperature of up to 180 °C. For the first time a macroscopic energy release is demonstrated using spatial infrared heat maps with up to a 10 °C temperature change. These findings pave the way for developing highly efficient and high energy density STFs for applications in the solid-state.","container-title":"Advanced Energy Materials","DOI":"10.1002/aenm.201502006","ISSN":"1614-6832","issue":"6","journalAbbreviation":"Advanced Energy Materials","note":"publisher: John Wiley &amp; Sons, Ltd","page":"1502006","title":"Solid-State Solar Thermal Fuels for Heat Release Applications","volume":"6","author":[{"family":"Zhitomirsky","given":"David"},{"family":"Cho","given":"Eugene"},{"family":"Grossman","given":"Jeffrey C."}],"issued":{"date-parts":[["2016",3,1]]}}}],"schema":"https://github.com/citation-style-language/schema/raw/master/csl-citation.json"} </w:instrText>
      </w:r>
      <w:r w:rsidR="00AD41AB">
        <w:fldChar w:fldCharType="separate"/>
      </w:r>
      <w:r w:rsidR="00AD41AB" w:rsidRPr="00AD41AB">
        <w:rPr>
          <w:vertAlign w:val="superscript"/>
        </w:rPr>
        <w:t>26</w:t>
      </w:r>
      <w:r w:rsidR="00AD41AB">
        <w:fldChar w:fldCharType="end"/>
      </w:r>
      <w:r>
        <w:t xml:space="preserve"> No exothermic features were observed in subsequent heating steps, although glass transitions were observed at temperatures consistent with unirradiated samples indicating complete reversion of the </w:t>
      </w:r>
      <w:proofErr w:type="spellStart"/>
      <w:r>
        <w:t>sidegroups</w:t>
      </w:r>
      <w:proofErr w:type="spellEnd"/>
      <w:r>
        <w:t xml:space="preserve"> to the </w:t>
      </w:r>
      <w:r>
        <w:rPr>
          <w:i/>
        </w:rPr>
        <w:t>E</w:t>
      </w:r>
      <w:r>
        <w:t xml:space="preserve"> isomeric state. </w:t>
      </w:r>
      <w:r>
        <w:rPr>
          <w:vertAlign w:val="superscript"/>
        </w:rPr>
        <w:t>1</w:t>
      </w:r>
      <w:r>
        <w:t xml:space="preserve">H NMR spectra of irradiated samples after the DSC measurement also confirmed that all side groups had reverted to the </w:t>
      </w:r>
      <w:r>
        <w:rPr>
          <w:i/>
        </w:rPr>
        <w:t>E</w:t>
      </w:r>
      <w:r>
        <w:t xml:space="preserve"> isomeric state. The enthalpies associated with the observed exotherms for each polymer are summarised in Table 2. Also recorded in Table 2 is the </w:t>
      </w:r>
      <w:r>
        <w:rPr>
          <w:i/>
        </w:rPr>
        <w:t>Z</w:t>
      </w:r>
      <w:r>
        <w:t xml:space="preserve"> isomer population in irradiated polymers at the beginning of each DSC measurement, which was separately determined by solution </w:t>
      </w:r>
      <w:r>
        <w:rPr>
          <w:vertAlign w:val="superscript"/>
        </w:rPr>
        <w:t>1</w:t>
      </w:r>
      <w:r>
        <w:t xml:space="preserve">H NMR on a small fraction of the sample. In general, the </w:t>
      </w:r>
      <w:r>
        <w:rPr>
          <w:i/>
        </w:rPr>
        <w:t>Z</w:t>
      </w:r>
      <w:r>
        <w:t xml:space="preserve"> isomer populations in the DSC samples are slightly lower than the PSS values in solution. This is partly attributed to the 1 - </w:t>
      </w:r>
      <w:proofErr w:type="gramStart"/>
      <w:r>
        <w:t>2 hour</w:t>
      </w:r>
      <w:proofErr w:type="gramEnd"/>
      <w:r>
        <w:t xml:space="preserve"> duration of the drying process, during which some reconversion to the </w:t>
      </w:r>
      <w:r>
        <w:rPr>
          <w:i/>
        </w:rPr>
        <w:t>trans</w:t>
      </w:r>
      <w:r>
        <w:t xml:space="preserve"> isomer will have taken place. </w:t>
      </w:r>
    </w:p>
    <w:p w14:paraId="2E07CB9A" w14:textId="2A7E7670" w:rsidR="00380B92" w:rsidRDefault="00000000">
      <w:pPr>
        <w:spacing w:after="160" w:line="480" w:lineRule="auto"/>
        <w:jc w:val="both"/>
      </w:pPr>
      <w:r>
        <w:t xml:space="preserve">For </w:t>
      </w:r>
      <w:r>
        <w:rPr>
          <w:b/>
        </w:rPr>
        <w:t>1a</w:t>
      </w:r>
      <w:r>
        <w:t>, the gravimetric enthalpy of 99 J g</w:t>
      </w:r>
      <w:r>
        <w:rPr>
          <w:vertAlign w:val="superscript"/>
        </w:rPr>
        <w:t>–1</w:t>
      </w:r>
      <w:r>
        <w:t xml:space="preserve"> we measured in our DSC experiments is in good agreement with the value of 104 J g</w:t>
      </w:r>
      <w:r>
        <w:rPr>
          <w:vertAlign w:val="superscript"/>
        </w:rPr>
        <w:t>–1</w:t>
      </w:r>
      <w:r>
        <w:t xml:space="preserve"> measured by </w:t>
      </w:r>
      <w:proofErr w:type="spellStart"/>
      <w:r>
        <w:t>Zhitomirsky</w:t>
      </w:r>
      <w:proofErr w:type="spellEnd"/>
      <w:r>
        <w:t xml:space="preserve"> </w:t>
      </w:r>
      <w:r>
        <w:rPr>
          <w:i/>
        </w:rPr>
        <w:t>et al</w:t>
      </w:r>
      <w:r>
        <w:t xml:space="preserve">. Considering the molecular mass of the repeat unit and the </w:t>
      </w:r>
      <w:r>
        <w:rPr>
          <w:i/>
        </w:rPr>
        <w:t>Z</w:t>
      </w:r>
      <w:r>
        <w:t xml:space="preserve"> isomer population of 64%, the measured enthalpy corresponds to an isomerisation enthalpy of 41.2 kJ mol</w:t>
      </w:r>
      <w:r>
        <w:rPr>
          <w:vertAlign w:val="superscript"/>
        </w:rPr>
        <w:t>–1</w:t>
      </w:r>
      <w:r>
        <w:t>. This value is in line with experimental isomerisation enthalpies of between 41 - 49 kJ mol</w:t>
      </w:r>
      <w:r>
        <w:rPr>
          <w:vertAlign w:val="superscript"/>
        </w:rPr>
        <w:t>–1</w:t>
      </w:r>
      <w:r>
        <w:t xml:space="preserve"> reported for molecular azobenzene.</w:t>
      </w:r>
      <w:r w:rsidR="00AD41AB">
        <w:fldChar w:fldCharType="begin"/>
      </w:r>
      <w:r w:rsidR="00AD41AB">
        <w:instrText xml:space="preserve"> ADDIN ZOTERO_ITEM CSL_CITATION {"citationID":"IXsmSd27","properties":{"formattedCitation":"\\super 37\\uc0\\u8211{}39\\nosupersub{}","plainCitation":"37–39","noteIndex":0},"citationItems":[{"id":1178,"uris":["http://zotero.org/users/7567464/items/F8CRQ7T5"],"itemData":{"id":1178,"type":"article-journal","container-title":"Journal of the American Chemical Society","DOI":"10.1021/ja01265a100","ISSN":"0002-7863","issue":"10","journalAbbreviation":"J. Am. Chem. Soc.","note":"publisher: American Chemical Society","page":"2925-2927","title":"The Heat of Combustion of cis- and trans-Azobenzene","volume":"61","author":[{"family":"Corruccini","given":"R. J."},{"family":"Gilbert","given":"E. C."}],"issued":{"date-parts":[["1939",10,1]]}}},{"id":1182,"uris":["http://zotero.org/users/7567464/items/UJ2DQ45G"],"itemData":{"id":1182,"type":"article-journal","abstract":"The standard (p° = 0.1 MPa) molar enthalpy of formation of crystalline trans-azobenzene was determined from its enthalpy of combustion in oxygen at 298.15 K measured by static-bomb calorimetry. The enthalpy of isomerization: ΔisomH°m(cr, cis → trans)/(kJ · mol−1) = -(49.1 ± 1.0), was measured by reaction-solution calorimetry: the isomerization was catalysed by dicyclopentadienyltitanium diiodide in toluene solution. The enthalpy of isomerization in heptane solution: ΔisomH°m(trans → cis)/(kJ · mol−1) = -(48.9 ± 2.3) when coupled with the enthalpies of solution of the two forms in heptane confirmed the reaction-solution calorimetric value. For the crystalline solids:ΔfH</w:instrText>
      </w:r>
      <w:r w:rsidR="00AD41AB">
        <w:rPr>
          <w:rFonts w:ascii="Cambria Math" w:hAnsi="Cambria Math" w:cs="Cambria Math"/>
        </w:rPr>
        <w:instrText>∘</w:instrText>
      </w:r>
      <w:r w:rsidR="00AD41AB">
        <w:instrText>m(trans-azobenzene, cr)/(k/J · mol-1) = (308.6 ± 1.9),ΔfH</w:instrText>
      </w:r>
      <w:r w:rsidR="00AD41AB">
        <w:rPr>
          <w:rFonts w:ascii="Cambria Math" w:hAnsi="Cambria Math" w:cs="Cambria Math"/>
        </w:rPr>
        <w:instrText>∘</w:instrText>
      </w:r>
      <w:r w:rsidR="00AD41AB">
        <w:instrText xml:space="preserve">m(cis-azobenzene, cr)/(k/J · mol-1) = (357.7 ± 2.1) The enthalpy of sublimation of trans-azobenzene was determined from the variation of vapour pressure with temperature measured by the Knudsen method: ΔgcrH°m(trans-azobenzene)/ (kJ · mol−1) = (93.6±1.9).","container-title":"The Journal of Chemical Thermodynamics","DOI":"10.1016/S0021-9614(05)80161-2","ISSN":"0021-9614","issue":"4","journalAbbreviation":"The Journal of Chemical Thermodynamics","page":"439-447","title":"Enthalpies of formation of cis-azobenzene and trans-azobenzene","volume":"24","author":[{"family":"Dias","given":"A.R."},{"family":"Minas Da Piedade","given":"M.E."},{"family":"Martinho Simões","given":"J.A."},{"family":"Simoni","given":"J.A."},{"family":"Teixeira","given":"C."},{"family":"Diogo","given":"H.P."},{"family":"Meng-Yan","given":"Yang"},{"family":"Pilcher","given":"G."}],"issued":{"date-parts":[["1992",4,1]]}}},{"id":1180,"uris":["http://zotero.org/users/7567464/items/2UVP9K9A"],"itemData":{"id":1180,"type":"article-journal","container-title":"Industrial &amp; Engineering Chemistry Research","DOI":"10.1021/ie900800q","ISSN":"0888-5885","issue":"22","journalAbbreviation":"Ind. Eng. Chem. Res.","note":"publisher: American Chemical Society","page":"10120-10128","title":"Re-investigation and Data Assessment of the Isomerization and 2,2′-Cyclization of Stilbenes and Azobenzenes","volume":"48","author":[{"family":"Cammenga","given":"Heiko K."},{"family":"Emel’yanenko","given":"Vladimir N."},{"family":"Verevkin","given":"Sergey P."}],"issued":{"date-parts":[["2009",11,18]]}}}],"schema":"https://github.com/citation-style-language/schema/raw/master/csl-citation.json"} </w:instrText>
      </w:r>
      <w:r w:rsidR="00AD41AB">
        <w:fldChar w:fldCharType="separate"/>
      </w:r>
      <w:r w:rsidR="00AD41AB" w:rsidRPr="00AD41AB">
        <w:rPr>
          <w:vertAlign w:val="superscript"/>
        </w:rPr>
        <w:t>37–39</w:t>
      </w:r>
      <w:r w:rsidR="00AD41AB">
        <w:fldChar w:fldCharType="end"/>
      </w:r>
      <w:r>
        <w:t xml:space="preserve"> For </w:t>
      </w:r>
      <w:r>
        <w:rPr>
          <w:b/>
        </w:rPr>
        <w:t>1b</w:t>
      </w:r>
      <w:r>
        <w:t>, a higher gravimetric enthalpy of 135 J g</w:t>
      </w:r>
      <w:r>
        <w:rPr>
          <w:vertAlign w:val="superscript"/>
        </w:rPr>
        <w:t>–1</w:t>
      </w:r>
      <w:r>
        <w:t xml:space="preserve"> was measured, which is expected given that the removal of the methyl group in </w:t>
      </w:r>
      <w:r>
        <w:rPr>
          <w:b/>
        </w:rPr>
        <w:t>1b</w:t>
      </w:r>
      <w:r>
        <w:t xml:space="preserve"> leads to a reduction in molar mass. This value corresponds to a molar enthalpy of 46.5 kJ mol</w:t>
      </w:r>
      <w:r>
        <w:rPr>
          <w:vertAlign w:val="superscript"/>
        </w:rPr>
        <w:t>–1</w:t>
      </w:r>
      <w:r>
        <w:t xml:space="preserve">. The origin of the difference in molar isomerisation enthalpy for </w:t>
      </w:r>
      <w:r>
        <w:rPr>
          <w:b/>
        </w:rPr>
        <w:t>1a</w:t>
      </w:r>
      <w:r>
        <w:t xml:space="preserve"> and</w:t>
      </w:r>
      <w:r>
        <w:rPr>
          <w:b/>
        </w:rPr>
        <w:t xml:space="preserve"> 1b</w:t>
      </w:r>
      <w:r>
        <w:t xml:space="preserve"> is not </w:t>
      </w:r>
      <w:r>
        <w:lastRenderedPageBreak/>
        <w:t xml:space="preserve">clear; based on the structures, the isomerisation enthalpy of the azobenzene </w:t>
      </w:r>
      <w:proofErr w:type="spellStart"/>
      <w:r>
        <w:t>sidegroup</w:t>
      </w:r>
      <w:proofErr w:type="spellEnd"/>
      <w:r>
        <w:t xml:space="preserve"> would be expected to be comparable in both polymers. While glass transitions for the irradiated polymers were typically not discernible in the DSC traces, we note that the unirradiated form of </w:t>
      </w:r>
      <w:r>
        <w:rPr>
          <w:b/>
        </w:rPr>
        <w:t>1a</w:t>
      </w:r>
      <w:r>
        <w:t xml:space="preserve"> shows the highest </w:t>
      </w:r>
      <w:proofErr w:type="spellStart"/>
      <w:r>
        <w:t>T</w:t>
      </w:r>
      <w:r>
        <w:rPr>
          <w:vertAlign w:val="subscript"/>
        </w:rPr>
        <w:t>g</w:t>
      </w:r>
      <w:proofErr w:type="spellEnd"/>
      <w:r>
        <w:t xml:space="preserve"> of 126 °C which is at the high-temperature limit of the observed exotherm in the DSC thermogram. If the </w:t>
      </w:r>
      <w:proofErr w:type="spellStart"/>
      <w:r>
        <w:t>T</w:t>
      </w:r>
      <w:r>
        <w:rPr>
          <w:vertAlign w:val="subscript"/>
        </w:rPr>
        <w:t>g</w:t>
      </w:r>
      <w:proofErr w:type="spellEnd"/>
      <w:r>
        <w:t xml:space="preserve"> for irradiated </w:t>
      </w:r>
      <w:r>
        <w:rPr>
          <w:b/>
        </w:rPr>
        <w:t>1a</w:t>
      </w:r>
      <w:r>
        <w:t xml:space="preserve"> is lower than this temperature (which would be expected from published data</w:t>
      </w:r>
      <w:r w:rsidR="00AD41AB">
        <w:fldChar w:fldCharType="begin"/>
      </w:r>
      <w:r w:rsidR="00AD41AB">
        <w:instrText xml:space="preserve"> ADDIN ZOTERO_ITEM CSL_CITATION {"citationID":"pfwajJbM","properties":{"formattedCitation":"\\super 23\\nosupersub{}","plainCitation":"23","noteIndex":0},"citationItems":[{"id":1128,"uris":["http://zotero.org/users/7567464/items/BYZAXJBF"],"itemData":{"id":1128,"type":"article-journal","abstract":"The development of polymers with switchable glass transition temperatures (Tg) can address scientific challenges such as the healing of cracks in high-Tg polymers and the processing of hard polymers at room temperature without using plasticizing solvents. Here, we demonstrate that light can switch the Tg of azobenzene-containing polymers (azopolymers) and induce reversible solid-to-liquid transitions of the polymers. The azobenzene groups in the polymers exhibit reversible cis–trans photoisomerization abilities. Trans azopolymers are solids with Tg above room temperature, whereas cis azopolymers are liquids with Tg below room temperature. Because of the photoinduced solid-to-liquid transitions of these polymers, light can reduce the surface roughness of azopolymer films by almost 600%, repeatedly heal cracks in azopolymers, and control the adhesion of azopolymers for transfer printing. The photoswitching of Tg provides a new strategy for designing healable polymers with high Tg and allows for control over the mechanical properties of polymers with high spatiotemporal resolution.","container-title":"Nature Chemistry","DOI":"10.1038/nchem.2625","ISSN":"1755-4349","issue":"2","journalAbbreviation":"Nature Chemistry","page":"145-151","title":"Photoswitching of glass transition temperatures of azobenzene-containing polymers induces reversible solid-to-liquid transitions","volume":"9","author":[{"family":"Zhou","given":"Hongwei"},{"family":"Xue","given":"Changguo"},{"family":"Weis","given":"Philipp"},{"family":"Suzuki","given":"Yasuhito"},{"family":"Huang","given":"Shilin"},{"family":"Koynov","given":"Kaloian"},{"family":"Auernhammer","given":"Günter K."},{"family":"Berger","given":"Rüdiger"},{"family":"Butt","given":"Hans-Jürgen"},{"family":"Wu","given":"Si"}],"issued":{"date-parts":[["2017",2,1]]}}}],"schema":"https://github.com/citation-style-language/schema/raw/master/csl-citation.json"} </w:instrText>
      </w:r>
      <w:r w:rsidR="00AD41AB">
        <w:fldChar w:fldCharType="separate"/>
      </w:r>
      <w:r w:rsidR="00AD41AB" w:rsidRPr="00AD41AB">
        <w:rPr>
          <w:vertAlign w:val="superscript"/>
        </w:rPr>
        <w:t>23</w:t>
      </w:r>
      <w:r w:rsidR="00AD41AB">
        <w:fldChar w:fldCharType="end"/>
      </w:r>
      <w:r>
        <w:t xml:space="preserve"> and due to increased free volume of </w:t>
      </w:r>
      <w:r>
        <w:rPr>
          <w:i/>
        </w:rPr>
        <w:t>Z</w:t>
      </w:r>
      <w:r>
        <w:t xml:space="preserve"> isomer </w:t>
      </w:r>
      <w:proofErr w:type="spellStart"/>
      <w:r>
        <w:t>sidegroups</w:t>
      </w:r>
      <w:proofErr w:type="spellEnd"/>
      <w:r>
        <w:t xml:space="preserve">), the glass transition may occur within the exotherm which could influence its magnitude. In contrast, </w:t>
      </w:r>
      <w:proofErr w:type="spellStart"/>
      <w:r>
        <w:t>T</w:t>
      </w:r>
      <w:r>
        <w:rPr>
          <w:vertAlign w:val="subscript"/>
        </w:rPr>
        <w:t>g</w:t>
      </w:r>
      <w:proofErr w:type="spellEnd"/>
      <w:r>
        <w:t xml:space="preserve"> values for all other unirradiated polymers are either within or below the temperature range of </w:t>
      </w:r>
    </w:p>
    <w:p w14:paraId="7C1AA7B0" w14:textId="77777777" w:rsidR="00380B92" w:rsidRDefault="00000000">
      <w:pPr>
        <w:spacing w:line="480" w:lineRule="auto"/>
        <w:jc w:val="both"/>
      </w:pPr>
      <w:r>
        <w:rPr>
          <w:b/>
        </w:rPr>
        <w:t xml:space="preserve">Table 2. </w:t>
      </w:r>
      <w:r>
        <w:t>Summary of photochemical and enthalpic properties of polymers studied in this work.</w:t>
      </w:r>
    </w:p>
    <w:tbl>
      <w:tblPr>
        <w:tblStyle w:val="a0"/>
        <w:tblW w:w="9405" w:type="dxa"/>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10"/>
        <w:gridCol w:w="1020"/>
        <w:gridCol w:w="1890"/>
        <w:gridCol w:w="1530"/>
        <w:gridCol w:w="2115"/>
        <w:gridCol w:w="1740"/>
      </w:tblGrid>
      <w:tr w:rsidR="00380B92" w14:paraId="71DC1469" w14:textId="77777777">
        <w:trPr>
          <w:trHeight w:val="1100"/>
        </w:trPr>
        <w:tc>
          <w:tcPr>
            <w:tcW w:w="1110" w:type="dxa"/>
            <w:tcBorders>
              <w:top w:val="single" w:sz="8" w:space="0" w:color="000000"/>
              <w:bottom w:val="single" w:sz="8" w:space="0" w:color="000000"/>
            </w:tcBorders>
            <w:tcMar>
              <w:top w:w="100" w:type="dxa"/>
              <w:left w:w="100" w:type="dxa"/>
              <w:bottom w:w="100" w:type="dxa"/>
              <w:right w:w="100" w:type="dxa"/>
            </w:tcMar>
          </w:tcPr>
          <w:p w14:paraId="259FF57D" w14:textId="77777777" w:rsidR="00380B92" w:rsidRDefault="00000000">
            <w:pPr>
              <w:jc w:val="center"/>
            </w:pPr>
            <w:r>
              <w:t>Polymer</w:t>
            </w:r>
          </w:p>
        </w:tc>
        <w:tc>
          <w:tcPr>
            <w:tcW w:w="1020" w:type="dxa"/>
            <w:tcBorders>
              <w:top w:val="single" w:sz="8" w:space="0" w:color="000000"/>
              <w:bottom w:val="single" w:sz="8" w:space="0" w:color="000000"/>
            </w:tcBorders>
            <w:tcMar>
              <w:top w:w="100" w:type="dxa"/>
              <w:left w:w="100" w:type="dxa"/>
              <w:bottom w:w="100" w:type="dxa"/>
              <w:right w:w="100" w:type="dxa"/>
            </w:tcMar>
          </w:tcPr>
          <w:p w14:paraId="04997B47" w14:textId="77777777" w:rsidR="00380B92" w:rsidRDefault="00000000">
            <w:pPr>
              <w:jc w:val="center"/>
            </w:pPr>
            <w:proofErr w:type="spellStart"/>
            <w:r>
              <w:rPr>
                <w:i/>
              </w:rPr>
              <w:t>T</w:t>
            </w:r>
            <w:r>
              <w:rPr>
                <w:i/>
                <w:vertAlign w:val="subscript"/>
              </w:rPr>
              <w:t>g</w:t>
            </w:r>
            <w:proofErr w:type="spellEnd"/>
            <w:r>
              <w:rPr>
                <w:vertAlign w:val="subscript"/>
              </w:rPr>
              <w:t xml:space="preserve"> </w:t>
            </w:r>
            <w:r>
              <w:t xml:space="preserve">/ °C </w:t>
            </w:r>
          </w:p>
        </w:tc>
        <w:tc>
          <w:tcPr>
            <w:tcW w:w="1890" w:type="dxa"/>
            <w:tcBorders>
              <w:top w:val="single" w:sz="8" w:space="0" w:color="000000"/>
              <w:bottom w:val="single" w:sz="8" w:space="0" w:color="000000"/>
            </w:tcBorders>
            <w:tcMar>
              <w:top w:w="100" w:type="dxa"/>
              <w:left w:w="100" w:type="dxa"/>
              <w:bottom w:w="100" w:type="dxa"/>
              <w:right w:w="100" w:type="dxa"/>
            </w:tcMar>
          </w:tcPr>
          <w:p w14:paraId="0F1B157C" w14:textId="77777777" w:rsidR="00380B92" w:rsidRDefault="00000000">
            <w:pPr>
              <w:jc w:val="center"/>
            </w:pPr>
            <w:r>
              <w:t>Normalised energy density</w:t>
            </w:r>
            <w:r>
              <w:rPr>
                <w:vertAlign w:val="superscript"/>
              </w:rPr>
              <w:t>†</w:t>
            </w:r>
            <w:r>
              <w:t xml:space="preserve"> / kJ mol</w:t>
            </w:r>
            <w:r>
              <w:rPr>
                <w:vertAlign w:val="superscript"/>
              </w:rPr>
              <w:t>-1</w:t>
            </w:r>
          </w:p>
        </w:tc>
        <w:tc>
          <w:tcPr>
            <w:tcW w:w="1530" w:type="dxa"/>
            <w:tcBorders>
              <w:top w:val="single" w:sz="8" w:space="0" w:color="000000"/>
              <w:bottom w:val="single" w:sz="8" w:space="0" w:color="000000"/>
            </w:tcBorders>
            <w:tcMar>
              <w:top w:w="100" w:type="dxa"/>
              <w:left w:w="100" w:type="dxa"/>
              <w:bottom w:w="100" w:type="dxa"/>
              <w:right w:w="100" w:type="dxa"/>
            </w:tcMar>
          </w:tcPr>
          <w:p w14:paraId="1D13DC7D" w14:textId="77777777" w:rsidR="00380B92" w:rsidRDefault="00000000">
            <w:pPr>
              <w:jc w:val="center"/>
              <w:rPr>
                <w:vertAlign w:val="subscript"/>
              </w:rPr>
            </w:pPr>
            <w:r>
              <w:t>PSS</w:t>
            </w:r>
            <w:r>
              <w:rPr>
                <w:vertAlign w:val="subscript"/>
              </w:rPr>
              <w:t xml:space="preserve">365 </w:t>
            </w:r>
          </w:p>
          <w:p w14:paraId="1DFE61DB" w14:textId="77777777" w:rsidR="00380B92" w:rsidRDefault="00000000">
            <w:pPr>
              <w:jc w:val="center"/>
            </w:pPr>
            <w:r>
              <w:t>(%, solution)</w:t>
            </w:r>
          </w:p>
        </w:tc>
        <w:tc>
          <w:tcPr>
            <w:tcW w:w="2115" w:type="dxa"/>
            <w:tcBorders>
              <w:top w:val="single" w:sz="8" w:space="0" w:color="000000"/>
              <w:bottom w:val="single" w:sz="8" w:space="0" w:color="000000"/>
            </w:tcBorders>
            <w:tcMar>
              <w:top w:w="100" w:type="dxa"/>
              <w:left w:w="100" w:type="dxa"/>
              <w:bottom w:w="100" w:type="dxa"/>
              <w:right w:w="100" w:type="dxa"/>
            </w:tcMar>
          </w:tcPr>
          <w:p w14:paraId="42FCDC1C" w14:textId="77777777" w:rsidR="00380B92" w:rsidRDefault="00000000">
            <w:pPr>
              <w:spacing w:line="240" w:lineRule="auto"/>
              <w:jc w:val="center"/>
              <w:rPr>
                <w:i/>
              </w:rPr>
            </w:pPr>
            <w:r>
              <w:rPr>
                <w:i/>
              </w:rPr>
              <w:t>Z</w:t>
            </w:r>
            <w:r>
              <w:t xml:space="preserve"> isomer population at beginning of DSC measurement (%)</w:t>
            </w:r>
          </w:p>
        </w:tc>
        <w:tc>
          <w:tcPr>
            <w:tcW w:w="1740" w:type="dxa"/>
            <w:tcBorders>
              <w:top w:val="single" w:sz="8" w:space="0" w:color="000000"/>
              <w:bottom w:val="single" w:sz="8" w:space="0" w:color="000000"/>
            </w:tcBorders>
            <w:tcMar>
              <w:top w:w="100" w:type="dxa"/>
              <w:left w:w="100" w:type="dxa"/>
              <w:bottom w:w="100" w:type="dxa"/>
              <w:right w:w="100" w:type="dxa"/>
            </w:tcMar>
          </w:tcPr>
          <w:p w14:paraId="7994F7EF" w14:textId="77777777" w:rsidR="00380B92" w:rsidRDefault="00000000">
            <w:pPr>
              <w:spacing w:line="240" w:lineRule="auto"/>
              <w:jc w:val="center"/>
            </w:pPr>
            <w:r>
              <w:t xml:space="preserve">Measured energy density </w:t>
            </w:r>
          </w:p>
          <w:p w14:paraId="62F87CE4" w14:textId="77777777" w:rsidR="00380B92" w:rsidRDefault="00000000">
            <w:pPr>
              <w:spacing w:line="240" w:lineRule="auto"/>
              <w:jc w:val="center"/>
            </w:pPr>
            <w:r>
              <w:t>/ J g</w:t>
            </w:r>
            <w:r>
              <w:rPr>
                <w:vertAlign w:val="superscript"/>
              </w:rPr>
              <w:t>–1</w:t>
            </w:r>
            <w:r>
              <w:t xml:space="preserve"> (DSC)</w:t>
            </w:r>
          </w:p>
        </w:tc>
      </w:tr>
      <w:tr w:rsidR="00380B92" w14:paraId="7BB21696" w14:textId="77777777">
        <w:trPr>
          <w:trHeight w:val="470"/>
        </w:trPr>
        <w:tc>
          <w:tcPr>
            <w:tcW w:w="1110" w:type="dxa"/>
            <w:tcMar>
              <w:top w:w="100" w:type="dxa"/>
              <w:left w:w="100" w:type="dxa"/>
              <w:bottom w:w="100" w:type="dxa"/>
              <w:right w:w="100" w:type="dxa"/>
            </w:tcMar>
          </w:tcPr>
          <w:p w14:paraId="2307FB54" w14:textId="77777777" w:rsidR="00380B92" w:rsidRDefault="00000000">
            <w:pPr>
              <w:jc w:val="center"/>
              <w:rPr>
                <w:b/>
              </w:rPr>
            </w:pPr>
            <w:r>
              <w:rPr>
                <w:b/>
              </w:rPr>
              <w:t>1a</w:t>
            </w:r>
          </w:p>
        </w:tc>
        <w:tc>
          <w:tcPr>
            <w:tcW w:w="1020" w:type="dxa"/>
            <w:tcMar>
              <w:top w:w="100" w:type="dxa"/>
              <w:left w:w="100" w:type="dxa"/>
              <w:bottom w:w="100" w:type="dxa"/>
              <w:right w:w="100" w:type="dxa"/>
            </w:tcMar>
          </w:tcPr>
          <w:p w14:paraId="044190AC" w14:textId="77777777" w:rsidR="00380B92" w:rsidRDefault="00000000">
            <w:pPr>
              <w:jc w:val="center"/>
            </w:pPr>
            <w:r>
              <w:t>126</w:t>
            </w:r>
          </w:p>
        </w:tc>
        <w:tc>
          <w:tcPr>
            <w:tcW w:w="1890" w:type="dxa"/>
            <w:tcMar>
              <w:top w:w="100" w:type="dxa"/>
              <w:left w:w="100" w:type="dxa"/>
              <w:bottom w:w="100" w:type="dxa"/>
              <w:right w:w="100" w:type="dxa"/>
            </w:tcMar>
          </w:tcPr>
          <w:p w14:paraId="6257D114" w14:textId="77777777" w:rsidR="00380B92" w:rsidRDefault="00000000">
            <w:pPr>
              <w:jc w:val="center"/>
            </w:pPr>
            <w:r>
              <w:t>41.2 ± 3.6</w:t>
            </w:r>
          </w:p>
        </w:tc>
        <w:tc>
          <w:tcPr>
            <w:tcW w:w="1530" w:type="dxa"/>
            <w:tcMar>
              <w:top w:w="100" w:type="dxa"/>
              <w:left w:w="100" w:type="dxa"/>
              <w:bottom w:w="100" w:type="dxa"/>
              <w:right w:w="100" w:type="dxa"/>
            </w:tcMar>
          </w:tcPr>
          <w:p w14:paraId="5DFCC7C0" w14:textId="77777777" w:rsidR="00380B92" w:rsidRDefault="00000000">
            <w:pPr>
              <w:jc w:val="center"/>
            </w:pPr>
            <w:r>
              <w:t>77 ± 0.2</w:t>
            </w:r>
          </w:p>
        </w:tc>
        <w:tc>
          <w:tcPr>
            <w:tcW w:w="2115" w:type="dxa"/>
            <w:tcMar>
              <w:top w:w="100" w:type="dxa"/>
              <w:left w:w="100" w:type="dxa"/>
              <w:bottom w:w="100" w:type="dxa"/>
              <w:right w:w="100" w:type="dxa"/>
            </w:tcMar>
          </w:tcPr>
          <w:p w14:paraId="458808A3" w14:textId="77777777" w:rsidR="00380B92" w:rsidRDefault="00000000">
            <w:pPr>
              <w:spacing w:line="240" w:lineRule="auto"/>
              <w:jc w:val="center"/>
            </w:pPr>
            <w:r>
              <w:t>64</w:t>
            </w:r>
          </w:p>
        </w:tc>
        <w:tc>
          <w:tcPr>
            <w:tcW w:w="1740" w:type="dxa"/>
            <w:tcMar>
              <w:top w:w="100" w:type="dxa"/>
              <w:left w:w="100" w:type="dxa"/>
              <w:bottom w:w="100" w:type="dxa"/>
              <w:right w:w="100" w:type="dxa"/>
            </w:tcMar>
          </w:tcPr>
          <w:p w14:paraId="0EC020AC" w14:textId="77777777" w:rsidR="00380B92" w:rsidRDefault="00000000">
            <w:pPr>
              <w:spacing w:line="240" w:lineRule="auto"/>
              <w:jc w:val="center"/>
            </w:pPr>
            <w:r>
              <w:t>99</w:t>
            </w:r>
          </w:p>
        </w:tc>
      </w:tr>
      <w:tr w:rsidR="00380B92" w14:paraId="73D4ED78" w14:textId="77777777">
        <w:trPr>
          <w:trHeight w:val="455"/>
        </w:trPr>
        <w:tc>
          <w:tcPr>
            <w:tcW w:w="1110" w:type="dxa"/>
            <w:shd w:val="clear" w:color="auto" w:fill="E7E6E6"/>
            <w:tcMar>
              <w:top w:w="100" w:type="dxa"/>
              <w:left w:w="100" w:type="dxa"/>
              <w:bottom w:w="100" w:type="dxa"/>
              <w:right w:w="100" w:type="dxa"/>
            </w:tcMar>
          </w:tcPr>
          <w:p w14:paraId="7A1969DB" w14:textId="77777777" w:rsidR="00380B92" w:rsidRDefault="00000000">
            <w:pPr>
              <w:jc w:val="center"/>
              <w:rPr>
                <w:b/>
              </w:rPr>
            </w:pPr>
            <w:r>
              <w:rPr>
                <w:b/>
              </w:rPr>
              <w:t>1b</w:t>
            </w:r>
          </w:p>
        </w:tc>
        <w:tc>
          <w:tcPr>
            <w:tcW w:w="1020" w:type="dxa"/>
            <w:shd w:val="clear" w:color="auto" w:fill="E7E6E6"/>
            <w:tcMar>
              <w:top w:w="100" w:type="dxa"/>
              <w:left w:w="100" w:type="dxa"/>
              <w:bottom w:w="100" w:type="dxa"/>
              <w:right w:w="100" w:type="dxa"/>
            </w:tcMar>
          </w:tcPr>
          <w:p w14:paraId="3BFEF005" w14:textId="77777777" w:rsidR="00380B92" w:rsidRDefault="00000000">
            <w:pPr>
              <w:jc w:val="center"/>
            </w:pPr>
            <w:r>
              <w:t>110</w:t>
            </w:r>
          </w:p>
        </w:tc>
        <w:tc>
          <w:tcPr>
            <w:tcW w:w="1890" w:type="dxa"/>
            <w:shd w:val="clear" w:color="auto" w:fill="E7E6E6"/>
            <w:tcMar>
              <w:top w:w="100" w:type="dxa"/>
              <w:left w:w="100" w:type="dxa"/>
              <w:bottom w:w="100" w:type="dxa"/>
              <w:right w:w="100" w:type="dxa"/>
            </w:tcMar>
          </w:tcPr>
          <w:p w14:paraId="3E4AB43A" w14:textId="77777777" w:rsidR="00380B92" w:rsidRDefault="00000000">
            <w:pPr>
              <w:jc w:val="center"/>
            </w:pPr>
            <w:r>
              <w:t>45.9 ± 3.6</w:t>
            </w:r>
          </w:p>
        </w:tc>
        <w:tc>
          <w:tcPr>
            <w:tcW w:w="1530" w:type="dxa"/>
            <w:shd w:val="clear" w:color="auto" w:fill="E7E6E6"/>
            <w:tcMar>
              <w:top w:w="100" w:type="dxa"/>
              <w:left w:w="100" w:type="dxa"/>
              <w:bottom w:w="100" w:type="dxa"/>
              <w:right w:w="100" w:type="dxa"/>
            </w:tcMar>
          </w:tcPr>
          <w:p w14:paraId="52F0E8B1" w14:textId="77777777" w:rsidR="00380B92" w:rsidRDefault="00000000">
            <w:pPr>
              <w:jc w:val="center"/>
            </w:pPr>
            <w:r>
              <w:t>75 ± 0.2</w:t>
            </w:r>
          </w:p>
        </w:tc>
        <w:tc>
          <w:tcPr>
            <w:tcW w:w="2115" w:type="dxa"/>
            <w:tcMar>
              <w:top w:w="100" w:type="dxa"/>
              <w:left w:w="100" w:type="dxa"/>
              <w:bottom w:w="100" w:type="dxa"/>
              <w:right w:w="100" w:type="dxa"/>
            </w:tcMar>
          </w:tcPr>
          <w:p w14:paraId="7F1B9D0C" w14:textId="77777777" w:rsidR="00380B92" w:rsidRDefault="00000000">
            <w:pPr>
              <w:spacing w:line="240" w:lineRule="auto"/>
              <w:jc w:val="center"/>
            </w:pPr>
            <w:r>
              <w:t>73</w:t>
            </w:r>
          </w:p>
        </w:tc>
        <w:tc>
          <w:tcPr>
            <w:tcW w:w="1740" w:type="dxa"/>
            <w:tcMar>
              <w:top w:w="100" w:type="dxa"/>
              <w:left w:w="100" w:type="dxa"/>
              <w:bottom w:w="100" w:type="dxa"/>
              <w:right w:w="100" w:type="dxa"/>
            </w:tcMar>
          </w:tcPr>
          <w:p w14:paraId="6164D1E3" w14:textId="77777777" w:rsidR="00380B92" w:rsidRDefault="00000000">
            <w:pPr>
              <w:spacing w:line="240" w:lineRule="auto"/>
              <w:jc w:val="center"/>
            </w:pPr>
            <w:r>
              <w:t>135</w:t>
            </w:r>
          </w:p>
        </w:tc>
      </w:tr>
      <w:tr w:rsidR="00380B92" w14:paraId="5D20E171" w14:textId="77777777">
        <w:trPr>
          <w:trHeight w:val="455"/>
        </w:trPr>
        <w:tc>
          <w:tcPr>
            <w:tcW w:w="1110" w:type="dxa"/>
            <w:tcMar>
              <w:top w:w="100" w:type="dxa"/>
              <w:left w:w="100" w:type="dxa"/>
              <w:bottom w:w="100" w:type="dxa"/>
              <w:right w:w="100" w:type="dxa"/>
            </w:tcMar>
          </w:tcPr>
          <w:p w14:paraId="4AA70609" w14:textId="77777777" w:rsidR="00380B92" w:rsidRDefault="00000000">
            <w:pPr>
              <w:jc w:val="center"/>
              <w:rPr>
                <w:b/>
              </w:rPr>
            </w:pPr>
            <w:r>
              <w:rPr>
                <w:b/>
              </w:rPr>
              <w:t>2a</w:t>
            </w:r>
          </w:p>
        </w:tc>
        <w:tc>
          <w:tcPr>
            <w:tcW w:w="1020" w:type="dxa"/>
            <w:tcMar>
              <w:top w:w="100" w:type="dxa"/>
              <w:left w:w="100" w:type="dxa"/>
              <w:bottom w:w="100" w:type="dxa"/>
              <w:right w:w="100" w:type="dxa"/>
            </w:tcMar>
          </w:tcPr>
          <w:p w14:paraId="049F616A" w14:textId="77777777" w:rsidR="00380B92" w:rsidRDefault="00000000">
            <w:pPr>
              <w:jc w:val="center"/>
            </w:pPr>
            <w:r>
              <w:t>87</w:t>
            </w:r>
          </w:p>
        </w:tc>
        <w:tc>
          <w:tcPr>
            <w:tcW w:w="1890" w:type="dxa"/>
            <w:tcMar>
              <w:top w:w="100" w:type="dxa"/>
              <w:left w:w="100" w:type="dxa"/>
              <w:bottom w:w="100" w:type="dxa"/>
              <w:right w:w="100" w:type="dxa"/>
            </w:tcMar>
          </w:tcPr>
          <w:p w14:paraId="7168C053" w14:textId="77777777" w:rsidR="00380B92" w:rsidRDefault="00000000">
            <w:pPr>
              <w:jc w:val="center"/>
            </w:pPr>
            <w:r>
              <w:t>43.8 ± 1.9</w:t>
            </w:r>
          </w:p>
        </w:tc>
        <w:tc>
          <w:tcPr>
            <w:tcW w:w="1530" w:type="dxa"/>
            <w:tcMar>
              <w:top w:w="100" w:type="dxa"/>
              <w:left w:w="100" w:type="dxa"/>
              <w:bottom w:w="100" w:type="dxa"/>
              <w:right w:w="100" w:type="dxa"/>
            </w:tcMar>
          </w:tcPr>
          <w:p w14:paraId="5AA71F6B" w14:textId="77777777" w:rsidR="00380B92" w:rsidRDefault="00000000">
            <w:pPr>
              <w:jc w:val="center"/>
            </w:pPr>
            <w:r>
              <w:t>97 ± 0.5</w:t>
            </w:r>
          </w:p>
        </w:tc>
        <w:tc>
          <w:tcPr>
            <w:tcW w:w="2115" w:type="dxa"/>
            <w:tcMar>
              <w:top w:w="100" w:type="dxa"/>
              <w:left w:w="100" w:type="dxa"/>
              <w:bottom w:w="100" w:type="dxa"/>
              <w:right w:w="100" w:type="dxa"/>
            </w:tcMar>
          </w:tcPr>
          <w:p w14:paraId="586D4208" w14:textId="77777777" w:rsidR="00380B92" w:rsidRDefault="00000000">
            <w:pPr>
              <w:spacing w:line="240" w:lineRule="auto"/>
              <w:jc w:val="center"/>
            </w:pPr>
            <w:r>
              <w:t>92</w:t>
            </w:r>
          </w:p>
        </w:tc>
        <w:tc>
          <w:tcPr>
            <w:tcW w:w="1740" w:type="dxa"/>
            <w:tcMar>
              <w:top w:w="100" w:type="dxa"/>
              <w:left w:w="100" w:type="dxa"/>
              <w:bottom w:w="100" w:type="dxa"/>
              <w:right w:w="100" w:type="dxa"/>
            </w:tcMar>
          </w:tcPr>
          <w:p w14:paraId="728B17E7" w14:textId="77777777" w:rsidR="00380B92" w:rsidRDefault="00000000">
            <w:pPr>
              <w:spacing w:line="240" w:lineRule="auto"/>
              <w:jc w:val="center"/>
            </w:pPr>
            <w:r>
              <w:t>130</w:t>
            </w:r>
          </w:p>
        </w:tc>
      </w:tr>
      <w:tr w:rsidR="00380B92" w14:paraId="04C07A68" w14:textId="77777777">
        <w:trPr>
          <w:trHeight w:val="455"/>
        </w:trPr>
        <w:tc>
          <w:tcPr>
            <w:tcW w:w="1110" w:type="dxa"/>
            <w:tcBorders>
              <w:bottom w:val="single" w:sz="8" w:space="0" w:color="000000"/>
            </w:tcBorders>
            <w:shd w:val="clear" w:color="auto" w:fill="E7E6E6"/>
            <w:tcMar>
              <w:top w:w="100" w:type="dxa"/>
              <w:left w:w="100" w:type="dxa"/>
              <w:bottom w:w="100" w:type="dxa"/>
              <w:right w:w="100" w:type="dxa"/>
            </w:tcMar>
          </w:tcPr>
          <w:p w14:paraId="517594E0" w14:textId="77777777" w:rsidR="00380B92" w:rsidRDefault="00000000">
            <w:pPr>
              <w:jc w:val="center"/>
              <w:rPr>
                <w:b/>
              </w:rPr>
            </w:pPr>
            <w:r>
              <w:rPr>
                <w:b/>
              </w:rPr>
              <w:t>2b</w:t>
            </w:r>
          </w:p>
        </w:tc>
        <w:tc>
          <w:tcPr>
            <w:tcW w:w="1020" w:type="dxa"/>
            <w:tcBorders>
              <w:bottom w:val="single" w:sz="8" w:space="0" w:color="000000"/>
            </w:tcBorders>
            <w:shd w:val="clear" w:color="auto" w:fill="E7E6E6"/>
            <w:tcMar>
              <w:top w:w="100" w:type="dxa"/>
              <w:left w:w="100" w:type="dxa"/>
              <w:bottom w:w="100" w:type="dxa"/>
              <w:right w:w="100" w:type="dxa"/>
            </w:tcMar>
          </w:tcPr>
          <w:p w14:paraId="26DD33A3" w14:textId="77777777" w:rsidR="00380B92" w:rsidRDefault="00000000">
            <w:pPr>
              <w:jc w:val="center"/>
            </w:pPr>
            <w:r>
              <w:t>48</w:t>
            </w:r>
          </w:p>
        </w:tc>
        <w:tc>
          <w:tcPr>
            <w:tcW w:w="1890" w:type="dxa"/>
            <w:tcBorders>
              <w:bottom w:val="single" w:sz="8" w:space="0" w:color="000000"/>
            </w:tcBorders>
            <w:shd w:val="clear" w:color="auto" w:fill="E7E6E6"/>
            <w:tcMar>
              <w:top w:w="100" w:type="dxa"/>
              <w:left w:w="100" w:type="dxa"/>
              <w:bottom w:w="100" w:type="dxa"/>
              <w:right w:w="100" w:type="dxa"/>
            </w:tcMar>
          </w:tcPr>
          <w:p w14:paraId="0F12BB07" w14:textId="77777777" w:rsidR="00380B92" w:rsidRDefault="00000000">
            <w:pPr>
              <w:jc w:val="center"/>
            </w:pPr>
            <w:r>
              <w:t>46.7 ± 1.5</w:t>
            </w:r>
          </w:p>
        </w:tc>
        <w:tc>
          <w:tcPr>
            <w:tcW w:w="1530" w:type="dxa"/>
            <w:tcBorders>
              <w:bottom w:val="single" w:sz="8" w:space="0" w:color="000000"/>
            </w:tcBorders>
            <w:shd w:val="clear" w:color="auto" w:fill="E7E6E6"/>
            <w:tcMar>
              <w:top w:w="100" w:type="dxa"/>
              <w:left w:w="100" w:type="dxa"/>
              <w:bottom w:w="100" w:type="dxa"/>
              <w:right w:w="100" w:type="dxa"/>
            </w:tcMar>
          </w:tcPr>
          <w:p w14:paraId="5C9DA19B" w14:textId="77777777" w:rsidR="00380B92" w:rsidRDefault="00000000">
            <w:pPr>
              <w:jc w:val="center"/>
            </w:pPr>
            <w:r>
              <w:t>97 ± 0.5</w:t>
            </w:r>
          </w:p>
        </w:tc>
        <w:tc>
          <w:tcPr>
            <w:tcW w:w="2115" w:type="dxa"/>
            <w:tcBorders>
              <w:bottom w:val="single" w:sz="8" w:space="0" w:color="000000"/>
            </w:tcBorders>
            <w:tcMar>
              <w:top w:w="100" w:type="dxa"/>
              <w:left w:w="100" w:type="dxa"/>
              <w:bottom w:w="100" w:type="dxa"/>
              <w:right w:w="100" w:type="dxa"/>
            </w:tcMar>
          </w:tcPr>
          <w:p w14:paraId="264D9BA4" w14:textId="77777777" w:rsidR="00380B92" w:rsidRDefault="00000000">
            <w:pPr>
              <w:spacing w:line="240" w:lineRule="auto"/>
              <w:jc w:val="center"/>
            </w:pPr>
            <w:r>
              <w:t>91</w:t>
            </w:r>
          </w:p>
        </w:tc>
        <w:tc>
          <w:tcPr>
            <w:tcW w:w="1740" w:type="dxa"/>
            <w:tcBorders>
              <w:bottom w:val="single" w:sz="8" w:space="0" w:color="000000"/>
            </w:tcBorders>
            <w:tcMar>
              <w:top w:w="100" w:type="dxa"/>
              <w:left w:w="100" w:type="dxa"/>
              <w:bottom w:w="100" w:type="dxa"/>
              <w:right w:w="100" w:type="dxa"/>
            </w:tcMar>
          </w:tcPr>
          <w:p w14:paraId="0A589E60" w14:textId="77777777" w:rsidR="00380B92" w:rsidRDefault="00000000">
            <w:pPr>
              <w:spacing w:line="240" w:lineRule="auto"/>
              <w:jc w:val="center"/>
            </w:pPr>
            <w:r>
              <w:t>143</w:t>
            </w:r>
          </w:p>
        </w:tc>
      </w:tr>
      <w:tr w:rsidR="00380B92" w14:paraId="59F67317" w14:textId="77777777">
        <w:trPr>
          <w:trHeight w:val="455"/>
        </w:trPr>
        <w:tc>
          <w:tcPr>
            <w:tcW w:w="1110" w:type="dxa"/>
            <w:tcMar>
              <w:top w:w="100" w:type="dxa"/>
              <w:left w:w="100" w:type="dxa"/>
              <w:bottom w:w="100" w:type="dxa"/>
              <w:right w:w="100" w:type="dxa"/>
            </w:tcMar>
          </w:tcPr>
          <w:p w14:paraId="67249DBA" w14:textId="77777777" w:rsidR="00380B92" w:rsidRDefault="00000000">
            <w:pPr>
              <w:jc w:val="center"/>
              <w:rPr>
                <w:b/>
              </w:rPr>
            </w:pPr>
            <w:r>
              <w:rPr>
                <w:b/>
              </w:rPr>
              <w:t>3a</w:t>
            </w:r>
          </w:p>
        </w:tc>
        <w:tc>
          <w:tcPr>
            <w:tcW w:w="1020" w:type="dxa"/>
            <w:tcMar>
              <w:top w:w="100" w:type="dxa"/>
              <w:left w:w="100" w:type="dxa"/>
              <w:bottom w:w="100" w:type="dxa"/>
              <w:right w:w="100" w:type="dxa"/>
            </w:tcMar>
          </w:tcPr>
          <w:p w14:paraId="02C3E062" w14:textId="77777777" w:rsidR="00380B92" w:rsidRDefault="00000000">
            <w:pPr>
              <w:jc w:val="center"/>
            </w:pPr>
            <w:r>
              <w:t>55</w:t>
            </w:r>
          </w:p>
        </w:tc>
        <w:tc>
          <w:tcPr>
            <w:tcW w:w="1890" w:type="dxa"/>
            <w:tcMar>
              <w:top w:w="100" w:type="dxa"/>
              <w:left w:w="100" w:type="dxa"/>
              <w:bottom w:w="100" w:type="dxa"/>
              <w:right w:w="100" w:type="dxa"/>
            </w:tcMar>
          </w:tcPr>
          <w:p w14:paraId="2F83D416" w14:textId="77777777" w:rsidR="00380B92" w:rsidRDefault="00000000">
            <w:pPr>
              <w:jc w:val="center"/>
            </w:pPr>
            <w:r>
              <w:t>45.1 ± 2.5</w:t>
            </w:r>
          </w:p>
        </w:tc>
        <w:tc>
          <w:tcPr>
            <w:tcW w:w="1530" w:type="dxa"/>
            <w:tcMar>
              <w:top w:w="100" w:type="dxa"/>
              <w:left w:w="100" w:type="dxa"/>
              <w:bottom w:w="100" w:type="dxa"/>
              <w:right w:w="100" w:type="dxa"/>
            </w:tcMar>
          </w:tcPr>
          <w:p w14:paraId="6F6C2A95" w14:textId="77777777" w:rsidR="00380B92" w:rsidRDefault="00000000">
            <w:pPr>
              <w:jc w:val="center"/>
            </w:pPr>
            <w:r>
              <w:t>98 ± 0.5</w:t>
            </w:r>
          </w:p>
        </w:tc>
        <w:tc>
          <w:tcPr>
            <w:tcW w:w="2115" w:type="dxa"/>
            <w:tcMar>
              <w:top w:w="100" w:type="dxa"/>
              <w:left w:w="100" w:type="dxa"/>
              <w:bottom w:w="100" w:type="dxa"/>
              <w:right w:w="100" w:type="dxa"/>
            </w:tcMar>
          </w:tcPr>
          <w:p w14:paraId="23AA77C3" w14:textId="77777777" w:rsidR="00380B92" w:rsidRDefault="00000000">
            <w:pPr>
              <w:spacing w:line="240" w:lineRule="auto"/>
              <w:jc w:val="center"/>
            </w:pPr>
            <w:r>
              <w:t>88</w:t>
            </w:r>
          </w:p>
        </w:tc>
        <w:tc>
          <w:tcPr>
            <w:tcW w:w="1740" w:type="dxa"/>
            <w:tcMar>
              <w:top w:w="100" w:type="dxa"/>
              <w:left w:w="100" w:type="dxa"/>
              <w:bottom w:w="100" w:type="dxa"/>
              <w:right w:w="100" w:type="dxa"/>
            </w:tcMar>
          </w:tcPr>
          <w:p w14:paraId="5DC14164" w14:textId="77777777" w:rsidR="00380B92" w:rsidRDefault="00000000">
            <w:pPr>
              <w:spacing w:line="240" w:lineRule="auto"/>
              <w:jc w:val="center"/>
            </w:pPr>
            <w:r>
              <w:t>122</w:t>
            </w:r>
          </w:p>
        </w:tc>
      </w:tr>
      <w:tr w:rsidR="00380B92" w14:paraId="76223802" w14:textId="77777777">
        <w:trPr>
          <w:trHeight w:val="455"/>
        </w:trPr>
        <w:tc>
          <w:tcPr>
            <w:tcW w:w="1110" w:type="dxa"/>
            <w:shd w:val="clear" w:color="auto" w:fill="E7E6E6"/>
            <w:tcMar>
              <w:top w:w="100" w:type="dxa"/>
              <w:left w:w="100" w:type="dxa"/>
              <w:bottom w:w="100" w:type="dxa"/>
              <w:right w:w="100" w:type="dxa"/>
            </w:tcMar>
          </w:tcPr>
          <w:p w14:paraId="5EAA2A6C" w14:textId="77777777" w:rsidR="00380B92" w:rsidRDefault="00000000">
            <w:pPr>
              <w:jc w:val="center"/>
              <w:rPr>
                <w:b/>
              </w:rPr>
            </w:pPr>
            <w:r>
              <w:rPr>
                <w:b/>
              </w:rPr>
              <w:t>3b</w:t>
            </w:r>
          </w:p>
        </w:tc>
        <w:tc>
          <w:tcPr>
            <w:tcW w:w="1020" w:type="dxa"/>
            <w:shd w:val="clear" w:color="auto" w:fill="E7E6E6"/>
            <w:tcMar>
              <w:top w:w="100" w:type="dxa"/>
              <w:left w:w="100" w:type="dxa"/>
              <w:bottom w:w="100" w:type="dxa"/>
              <w:right w:w="100" w:type="dxa"/>
            </w:tcMar>
          </w:tcPr>
          <w:p w14:paraId="412A4EBF" w14:textId="77777777" w:rsidR="00380B92" w:rsidRDefault="00000000">
            <w:pPr>
              <w:jc w:val="center"/>
            </w:pPr>
            <w:r>
              <w:t>28</w:t>
            </w:r>
          </w:p>
        </w:tc>
        <w:tc>
          <w:tcPr>
            <w:tcW w:w="1890" w:type="dxa"/>
            <w:shd w:val="clear" w:color="auto" w:fill="E7E6E6"/>
            <w:tcMar>
              <w:top w:w="100" w:type="dxa"/>
              <w:left w:w="100" w:type="dxa"/>
              <w:bottom w:w="100" w:type="dxa"/>
              <w:right w:w="100" w:type="dxa"/>
            </w:tcMar>
          </w:tcPr>
          <w:p w14:paraId="0F1BC33E" w14:textId="77777777" w:rsidR="00380B92" w:rsidRDefault="00000000">
            <w:pPr>
              <w:jc w:val="center"/>
            </w:pPr>
            <w:r>
              <w:t>46.5 ± 1.7</w:t>
            </w:r>
          </w:p>
        </w:tc>
        <w:tc>
          <w:tcPr>
            <w:tcW w:w="1530" w:type="dxa"/>
            <w:shd w:val="clear" w:color="auto" w:fill="E7E6E6"/>
            <w:tcMar>
              <w:top w:w="100" w:type="dxa"/>
              <w:left w:w="100" w:type="dxa"/>
              <w:bottom w:w="100" w:type="dxa"/>
              <w:right w:w="100" w:type="dxa"/>
            </w:tcMar>
          </w:tcPr>
          <w:p w14:paraId="371DCA6F" w14:textId="77777777" w:rsidR="00380B92" w:rsidRDefault="00000000">
            <w:pPr>
              <w:jc w:val="center"/>
            </w:pPr>
            <w:r>
              <w:t>98 ± 0.5</w:t>
            </w:r>
          </w:p>
        </w:tc>
        <w:tc>
          <w:tcPr>
            <w:tcW w:w="2115" w:type="dxa"/>
            <w:tcMar>
              <w:top w:w="100" w:type="dxa"/>
              <w:left w:w="100" w:type="dxa"/>
              <w:bottom w:w="100" w:type="dxa"/>
              <w:right w:w="100" w:type="dxa"/>
            </w:tcMar>
          </w:tcPr>
          <w:p w14:paraId="0CEBE4E9" w14:textId="77777777" w:rsidR="00380B92" w:rsidRDefault="00000000">
            <w:pPr>
              <w:spacing w:line="240" w:lineRule="auto"/>
              <w:jc w:val="center"/>
            </w:pPr>
            <w:r>
              <w:t>95</w:t>
            </w:r>
          </w:p>
        </w:tc>
        <w:tc>
          <w:tcPr>
            <w:tcW w:w="1740" w:type="dxa"/>
            <w:tcMar>
              <w:top w:w="100" w:type="dxa"/>
              <w:left w:w="100" w:type="dxa"/>
              <w:bottom w:w="100" w:type="dxa"/>
              <w:right w:w="100" w:type="dxa"/>
            </w:tcMar>
          </w:tcPr>
          <w:p w14:paraId="50B9774A" w14:textId="77777777" w:rsidR="00380B92" w:rsidRDefault="00000000">
            <w:pPr>
              <w:spacing w:line="240" w:lineRule="auto"/>
              <w:jc w:val="center"/>
            </w:pPr>
            <w:r>
              <w:t>135</w:t>
            </w:r>
          </w:p>
        </w:tc>
      </w:tr>
    </w:tbl>
    <w:p w14:paraId="19CB94AC" w14:textId="77777777" w:rsidR="00380B92" w:rsidRDefault="00000000">
      <w:pPr>
        <w:spacing w:after="160" w:line="480" w:lineRule="auto"/>
        <w:jc w:val="both"/>
      </w:pPr>
      <w:r>
        <w:t xml:space="preserve">†Normalised by </w:t>
      </w:r>
      <w:r>
        <w:rPr>
          <w:i/>
        </w:rPr>
        <w:t>Z</w:t>
      </w:r>
      <w:r>
        <w:t xml:space="preserve"> isomer population at beginning of DSC measurement.</w:t>
      </w:r>
    </w:p>
    <w:p w14:paraId="32134C59" w14:textId="77777777" w:rsidR="00380B92" w:rsidRDefault="00000000">
      <w:pPr>
        <w:spacing w:after="160" w:line="480" w:lineRule="auto"/>
        <w:jc w:val="both"/>
      </w:pPr>
      <w:r>
        <w:t>the exotherm, suggesting that glass transitions for the irradiated forms of these polymers would not coincide with the exotherm.</w:t>
      </w:r>
    </w:p>
    <w:p w14:paraId="2964BF36" w14:textId="77777777" w:rsidR="00380B92" w:rsidRDefault="00000000">
      <w:pPr>
        <w:spacing w:after="160" w:line="480" w:lineRule="auto"/>
        <w:jc w:val="both"/>
      </w:pPr>
      <w:r>
        <w:t xml:space="preserve">For </w:t>
      </w:r>
      <w:r>
        <w:rPr>
          <w:b/>
        </w:rPr>
        <w:t>2a</w:t>
      </w:r>
      <w:r>
        <w:t xml:space="preserve"> and </w:t>
      </w:r>
      <w:r>
        <w:rPr>
          <w:b/>
        </w:rPr>
        <w:t>2b</w:t>
      </w:r>
      <w:r>
        <w:t>, the thermal analysis yields gravimetric enthalpies of 130 J g</w:t>
      </w:r>
      <w:r>
        <w:rPr>
          <w:vertAlign w:val="superscript"/>
        </w:rPr>
        <w:t>–1</w:t>
      </w:r>
      <w:r>
        <w:t xml:space="preserve"> and 143 J g</w:t>
      </w:r>
      <w:r>
        <w:rPr>
          <w:vertAlign w:val="superscript"/>
        </w:rPr>
        <w:t>–1</w:t>
      </w:r>
      <w:r>
        <w:t xml:space="preserve">.  These values are significantly higher than that measured for </w:t>
      </w:r>
      <w:r>
        <w:rPr>
          <w:b/>
        </w:rPr>
        <w:t>1a</w:t>
      </w:r>
      <w:r>
        <w:t xml:space="preserve"> and comparable to that measured </w:t>
      </w:r>
      <w:r>
        <w:lastRenderedPageBreak/>
        <w:t xml:space="preserve">for </w:t>
      </w:r>
      <w:r>
        <w:rPr>
          <w:b/>
        </w:rPr>
        <w:t>1b</w:t>
      </w:r>
      <w:r>
        <w:t>, despite the increased mass of the repeat unit due to the presence of the C</w:t>
      </w:r>
      <w:r>
        <w:rPr>
          <w:vertAlign w:val="subscript"/>
        </w:rPr>
        <w:t>2</w:t>
      </w:r>
      <w:r>
        <w:t>H</w:t>
      </w:r>
      <w:r>
        <w:rPr>
          <w:vertAlign w:val="subscript"/>
        </w:rPr>
        <w:t>4</w:t>
      </w:r>
      <w:r>
        <w:t xml:space="preserve"> linker group. The reason for this is the higher population of </w:t>
      </w:r>
      <w:r>
        <w:rPr>
          <w:i/>
        </w:rPr>
        <w:t xml:space="preserve">Z </w:t>
      </w:r>
      <w:r>
        <w:t xml:space="preserve">isomers at the beginning of the experiment (92% and 91%), which means that a larger proportion of the </w:t>
      </w:r>
      <w:proofErr w:type="spellStart"/>
      <w:r>
        <w:t>sidegroups</w:t>
      </w:r>
      <w:proofErr w:type="spellEnd"/>
      <w:r>
        <w:t xml:space="preserve"> in the sample contribute to the exothermic process. The molar enthalpies of </w:t>
      </w:r>
      <w:r>
        <w:rPr>
          <w:b/>
        </w:rPr>
        <w:t>2a</w:t>
      </w:r>
      <w:r>
        <w:t xml:space="preserve"> and </w:t>
      </w:r>
      <w:r>
        <w:rPr>
          <w:b/>
        </w:rPr>
        <w:t>2b</w:t>
      </w:r>
      <w:r>
        <w:t xml:space="preserve"> are also very similar to </w:t>
      </w:r>
      <w:r>
        <w:rPr>
          <w:b/>
        </w:rPr>
        <w:t>1b</w:t>
      </w:r>
      <w:r>
        <w:t xml:space="preserve">, confirming that the intrinsic isomerisation enthalpy is very similar. The gravimetric enthalpies of </w:t>
      </w:r>
      <w:r>
        <w:rPr>
          <w:b/>
        </w:rPr>
        <w:t>3a</w:t>
      </w:r>
      <w:r>
        <w:t xml:space="preserve"> and </w:t>
      </w:r>
      <w:r>
        <w:rPr>
          <w:b/>
        </w:rPr>
        <w:t xml:space="preserve">3b </w:t>
      </w:r>
      <w:r>
        <w:t xml:space="preserve">(88% and 95% </w:t>
      </w:r>
      <w:r>
        <w:rPr>
          <w:i/>
        </w:rPr>
        <w:t>Z</w:t>
      </w:r>
      <w:r>
        <w:t xml:space="preserve"> isomer</w:t>
      </w:r>
      <w:r>
        <w:rPr>
          <w:i/>
        </w:rPr>
        <w:t xml:space="preserve"> </w:t>
      </w:r>
      <w:r>
        <w:t>populations) that contain C</w:t>
      </w:r>
      <w:r>
        <w:rPr>
          <w:vertAlign w:val="subscript"/>
        </w:rPr>
        <w:t>4</w:t>
      </w:r>
      <w:r>
        <w:t>H</w:t>
      </w:r>
      <w:r>
        <w:rPr>
          <w:vertAlign w:val="subscript"/>
        </w:rPr>
        <w:t xml:space="preserve">8 </w:t>
      </w:r>
      <w:r>
        <w:t>linkers are 122 J g</w:t>
      </w:r>
      <w:r>
        <w:rPr>
          <w:vertAlign w:val="superscript"/>
        </w:rPr>
        <w:t>-–1</w:t>
      </w:r>
      <w:r>
        <w:t xml:space="preserve"> and 135 J g</w:t>
      </w:r>
      <w:r>
        <w:rPr>
          <w:vertAlign w:val="superscript"/>
        </w:rPr>
        <w:t>–1</w:t>
      </w:r>
      <w:r>
        <w:t>,</w:t>
      </w:r>
      <w:r>
        <w:rPr>
          <w:vertAlign w:val="superscript"/>
        </w:rPr>
        <w:t xml:space="preserve"> </w:t>
      </w:r>
      <w:r>
        <w:t xml:space="preserve">respectively. These polymers also reach high </w:t>
      </w:r>
      <w:r>
        <w:rPr>
          <w:i/>
        </w:rPr>
        <w:t>Z</w:t>
      </w:r>
      <w:r>
        <w:t xml:space="preserve"> isomer populations, and similar molar enthalpies are obtained, but the gravimetric enthalpy is now reduced slightly by the increased mass of the </w:t>
      </w:r>
    </w:p>
    <w:p w14:paraId="19083C08" w14:textId="77777777" w:rsidR="00380B92" w:rsidRDefault="00000000">
      <w:pPr>
        <w:spacing w:after="380" w:line="480" w:lineRule="auto"/>
        <w:jc w:val="center"/>
        <w:rPr>
          <w:b/>
        </w:rPr>
      </w:pPr>
      <w:r>
        <w:rPr>
          <w:noProof/>
        </w:rPr>
        <w:lastRenderedPageBreak/>
        <w:drawing>
          <wp:inline distT="114300" distB="114300" distL="114300" distR="114300" wp14:anchorId="6B7DEF8B" wp14:editId="595B8E12">
            <wp:extent cx="4206906" cy="610076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206906" cy="6100763"/>
                    </a:xfrm>
                    <a:prstGeom prst="rect">
                      <a:avLst/>
                    </a:prstGeom>
                    <a:ln/>
                  </pic:spPr>
                </pic:pic>
              </a:graphicData>
            </a:graphic>
          </wp:inline>
        </w:drawing>
      </w:r>
    </w:p>
    <w:p w14:paraId="6BF3C855" w14:textId="77777777" w:rsidR="00380B92" w:rsidRDefault="00000000">
      <w:pPr>
        <w:spacing w:after="200" w:line="480" w:lineRule="auto"/>
        <w:jc w:val="both"/>
      </w:pPr>
      <w:r>
        <w:rPr>
          <w:b/>
        </w:rPr>
        <w:t>Figure 6.</w:t>
      </w:r>
      <w:r>
        <w:t xml:space="preserve"> DSC traces for irradiated polymers between 0 - 200 °C recorded with a heating rate of 10 °C min</w:t>
      </w:r>
      <w:r>
        <w:rPr>
          <w:vertAlign w:val="superscript"/>
        </w:rPr>
        <w:t>–1</w:t>
      </w:r>
      <w:r>
        <w:t>. Heating curves are shown in orange and cooling curves are shown in blue. Magnitudes of exotherms observed during heating are indicated for each polymer.</w:t>
      </w:r>
    </w:p>
    <w:p w14:paraId="02596563" w14:textId="77777777" w:rsidR="00380B92" w:rsidRDefault="00380B92">
      <w:pPr>
        <w:spacing w:after="200" w:line="480" w:lineRule="auto"/>
        <w:jc w:val="both"/>
      </w:pPr>
    </w:p>
    <w:p w14:paraId="3A9327DC" w14:textId="77777777" w:rsidR="00380B92" w:rsidRDefault="00000000">
      <w:pPr>
        <w:spacing w:line="480" w:lineRule="auto"/>
        <w:jc w:val="both"/>
      </w:pPr>
      <w:r>
        <w:lastRenderedPageBreak/>
        <w:t>longer C</w:t>
      </w:r>
      <w:r>
        <w:rPr>
          <w:vertAlign w:val="subscript"/>
        </w:rPr>
        <w:t>4</w:t>
      </w:r>
      <w:r>
        <w:t>H</w:t>
      </w:r>
      <w:r>
        <w:rPr>
          <w:vertAlign w:val="subscript"/>
        </w:rPr>
        <w:t>8</w:t>
      </w:r>
      <w:r>
        <w:t xml:space="preserve"> linker. </w:t>
      </w:r>
      <w:r>
        <w:rPr>
          <w:vertAlign w:val="superscript"/>
        </w:rPr>
        <w:t>1</w:t>
      </w:r>
      <w:r>
        <w:t xml:space="preserve">H NMR spectra of the polymers recorded after a full heating-cooling cycle showed almost complete absence of </w:t>
      </w:r>
      <w:r>
        <w:rPr>
          <w:i/>
        </w:rPr>
        <w:t>Z</w:t>
      </w:r>
      <w:r>
        <w:t xml:space="preserve"> isomers, confirming that isomerisation of the side groups to the ground state </w:t>
      </w:r>
      <w:r>
        <w:rPr>
          <w:i/>
        </w:rPr>
        <w:t>E</w:t>
      </w:r>
      <w:r>
        <w:t xml:space="preserve"> configuration in these polymers is not limited by any packing effects in the solid state. Instead, the molar enthalpies suggest that the observed thermal energy release is dictated largely by the intrinsic energy difference between the </w:t>
      </w:r>
      <w:r>
        <w:rPr>
          <w:i/>
        </w:rPr>
        <w:t>Z</w:t>
      </w:r>
      <w:r>
        <w:t xml:space="preserve"> and </w:t>
      </w:r>
      <w:r>
        <w:rPr>
          <w:i/>
        </w:rPr>
        <w:t xml:space="preserve">E </w:t>
      </w:r>
      <w:r>
        <w:t>isomers.</w:t>
      </w:r>
    </w:p>
    <w:p w14:paraId="3A6CF2CC" w14:textId="77777777" w:rsidR="00380B92" w:rsidRDefault="00380B92">
      <w:pPr>
        <w:spacing w:line="480" w:lineRule="auto"/>
        <w:jc w:val="both"/>
        <w:rPr>
          <w:b/>
        </w:rPr>
      </w:pPr>
    </w:p>
    <w:p w14:paraId="00AB5EB8" w14:textId="77777777" w:rsidR="00380B92" w:rsidRDefault="00000000">
      <w:pPr>
        <w:spacing w:line="480" w:lineRule="auto"/>
        <w:jc w:val="both"/>
      </w:pPr>
      <w:r>
        <w:rPr>
          <w:b/>
        </w:rPr>
        <w:t>CONCLUSIONS</w:t>
      </w:r>
    </w:p>
    <w:p w14:paraId="495D6DD1" w14:textId="77777777" w:rsidR="00380B92" w:rsidRDefault="00000000">
      <w:pPr>
        <w:spacing w:after="160" w:line="480" w:lineRule="auto"/>
        <w:jc w:val="both"/>
      </w:pPr>
      <w:r>
        <w:t xml:space="preserve">This work shows that the STF properties of acrylate-based polymers with azobenzene </w:t>
      </w:r>
      <w:proofErr w:type="spellStart"/>
      <w:r>
        <w:t>sidegroups</w:t>
      </w:r>
      <w:proofErr w:type="spellEnd"/>
      <w:r>
        <w:t xml:space="preserve"> can be significantly enhanced through judicious choice of the structural units. Characterisation of the basic acrylate and methacrylate polymers with directly attached azobenzene </w:t>
      </w:r>
      <w:proofErr w:type="spellStart"/>
      <w:r>
        <w:t>sidegroups</w:t>
      </w:r>
      <w:proofErr w:type="spellEnd"/>
      <w:r>
        <w:t xml:space="preserve"> shows that the </w:t>
      </w:r>
      <w:proofErr w:type="spellStart"/>
      <w:r>
        <w:t>photoswitching</w:t>
      </w:r>
      <w:proofErr w:type="spellEnd"/>
      <w:r>
        <w:t xml:space="preserve"> properties mirror those of molecular azobenzene, which has a </w:t>
      </w:r>
      <w:proofErr w:type="spellStart"/>
      <w:r>
        <w:t>photostationary</w:t>
      </w:r>
      <w:proofErr w:type="spellEnd"/>
      <w:r>
        <w:t xml:space="preserve"> state of below 80% Z isomer under 365 nm irradiation. The molar energy density during thermally driven reconversion to the ground state </w:t>
      </w:r>
      <w:r>
        <w:rPr>
          <w:i/>
        </w:rPr>
        <w:t>E</w:t>
      </w:r>
      <w:r>
        <w:t xml:space="preserve"> isomer agrees with the reconversion enthalpy for molecular azobenzene, showing that inclusion within the polymer does not significantly affect the </w:t>
      </w:r>
      <w:proofErr w:type="spellStart"/>
      <w:r>
        <w:t>photoswitching</w:t>
      </w:r>
      <w:proofErr w:type="spellEnd"/>
      <w:r>
        <w:t xml:space="preserve"> properties. Separation of the azobenzene moieties from the polymer backbone via an alkoxy linker group separates the π-π* absorption bands of the </w:t>
      </w:r>
      <w:r>
        <w:rPr>
          <w:i/>
        </w:rPr>
        <w:t>E</w:t>
      </w:r>
      <w:r>
        <w:t xml:space="preserve"> and </w:t>
      </w:r>
      <w:r>
        <w:rPr>
          <w:i/>
        </w:rPr>
        <w:t>Z</w:t>
      </w:r>
      <w:r>
        <w:t xml:space="preserve"> isomers leading to almost quantitative </w:t>
      </w:r>
      <w:proofErr w:type="spellStart"/>
      <w:r>
        <w:t>photoisomerisation</w:t>
      </w:r>
      <w:proofErr w:type="spellEnd"/>
      <w:r>
        <w:t xml:space="preserve">. Although the molar </w:t>
      </w:r>
      <w:r>
        <w:rPr>
          <w:i/>
        </w:rPr>
        <w:t>Z</w:t>
      </w:r>
      <w:r>
        <w:rPr>
          <w:rFonts w:ascii="Arial Unicode MS" w:eastAsia="Arial Unicode MS" w:hAnsi="Arial Unicode MS" w:cs="Arial Unicode MS"/>
        </w:rPr>
        <w:t>→</w:t>
      </w:r>
      <w:r>
        <w:rPr>
          <w:i/>
        </w:rPr>
        <w:t>E</w:t>
      </w:r>
      <w:r>
        <w:t xml:space="preserve"> reconversion enthalpy remains </w:t>
      </w:r>
      <w:proofErr w:type="gramStart"/>
      <w:r>
        <w:t>similar to</w:t>
      </w:r>
      <w:proofErr w:type="gramEnd"/>
      <w:r>
        <w:t xml:space="preserve"> that of molecular azobenzene, the increased PSS significantly increases the gravimetric energy density by up to 44% compared to polymers with directly attached </w:t>
      </w:r>
      <w:proofErr w:type="spellStart"/>
      <w:r>
        <w:t>sidegroups</w:t>
      </w:r>
      <w:proofErr w:type="spellEnd"/>
      <w:r>
        <w:t xml:space="preserve">. Experiments on polymer films suggest that the increased absorption band separation may also give a greater light penetration depth which would be beneficial for energy storage in macroscopic films and coatings. The inclusion of the alkoxy linkers also reduces the glass transition temperatures of the polymers, which leads to somewhat faster spontaneous thermal reconversion; however, half-lives of the </w:t>
      </w:r>
      <w:r>
        <w:rPr>
          <w:i/>
        </w:rPr>
        <w:t>Z</w:t>
      </w:r>
      <w:r>
        <w:t xml:space="preserve"> isomeric states remain more than 4 days, providing scope for applications with storage-release cycles on timescales of up to several days.</w:t>
      </w:r>
    </w:p>
    <w:p w14:paraId="204AD4E1" w14:textId="77777777" w:rsidR="00380B92" w:rsidRPr="0040483C" w:rsidRDefault="00000000">
      <w:pPr>
        <w:spacing w:after="160" w:line="480" w:lineRule="auto"/>
        <w:jc w:val="both"/>
        <w:rPr>
          <w:b/>
          <w:highlight w:val="yellow"/>
        </w:rPr>
      </w:pPr>
      <w:r w:rsidRPr="0040483C">
        <w:rPr>
          <w:b/>
          <w:highlight w:val="yellow"/>
        </w:rPr>
        <w:lastRenderedPageBreak/>
        <w:t>EXPERIMENTAL SECTION</w:t>
      </w:r>
    </w:p>
    <w:p w14:paraId="71D57488" w14:textId="77777777" w:rsidR="00380B92" w:rsidRPr="0040483C" w:rsidRDefault="00000000">
      <w:pPr>
        <w:spacing w:after="160" w:line="480" w:lineRule="auto"/>
        <w:jc w:val="both"/>
        <w:rPr>
          <w:highlight w:val="yellow"/>
        </w:rPr>
      </w:pPr>
      <w:r w:rsidRPr="0040483C">
        <w:rPr>
          <w:b/>
          <w:highlight w:val="yellow"/>
        </w:rPr>
        <w:t>Materials and reagents.</w:t>
      </w:r>
      <w:r w:rsidRPr="0040483C">
        <w:rPr>
          <w:highlight w:val="yellow"/>
        </w:rPr>
        <w:t xml:space="preserve"> All reagents and solvents used in the synthesis of the monomers were readily available commercially and used as supplied without further purification. Reactions were monitored by thin-layer chromatography (TLC) using Merck silica gel 60 F254 plates (0.25mm). TLC plates were visualized using UV light (254nm) and/or by using the appropriate TLC stain (Cerium Molybdate stain). Flash column chromatography was performed using silica gel (VWR) 40-63 </w:t>
      </w:r>
      <w:proofErr w:type="spellStart"/>
      <w:r w:rsidRPr="0040483C">
        <w:rPr>
          <w:highlight w:val="yellow"/>
        </w:rPr>
        <w:t>μm</w:t>
      </w:r>
      <w:proofErr w:type="spellEnd"/>
      <w:r w:rsidRPr="0040483C">
        <w:rPr>
          <w:highlight w:val="yellow"/>
        </w:rPr>
        <w:t xml:space="preserve"> in collaboration with a solvent system specified in the procedure. Reactions under anhydrous and inert conditions were conducted in oven-dried glassware under an atmosphere of argon.</w:t>
      </w:r>
    </w:p>
    <w:p w14:paraId="24E47979" w14:textId="6D3C4861" w:rsidR="00380B92" w:rsidRPr="0040483C" w:rsidRDefault="00000000">
      <w:pPr>
        <w:spacing w:after="160" w:line="480" w:lineRule="auto"/>
        <w:jc w:val="both"/>
        <w:rPr>
          <w:highlight w:val="yellow"/>
        </w:rPr>
      </w:pPr>
      <w:r w:rsidRPr="0040483C">
        <w:rPr>
          <w:b/>
          <w:highlight w:val="yellow"/>
        </w:rPr>
        <w:t>Polymer molar mass distributions.</w:t>
      </w:r>
      <w:r w:rsidRPr="0040483C">
        <w:rPr>
          <w:highlight w:val="yellow"/>
        </w:rPr>
        <w:t xml:space="preserve"> Triple detection Gel Permeation Chromatography (GPC) was carried out on a Shimadzu GPC/SEC set up using a Shimadzu RID-20A, with both a Wyatt Technologies </w:t>
      </w:r>
      <w:proofErr w:type="spellStart"/>
      <w:r w:rsidRPr="0040483C">
        <w:rPr>
          <w:highlight w:val="yellow"/>
        </w:rPr>
        <w:t>miniDAWN</w:t>
      </w:r>
      <w:proofErr w:type="spellEnd"/>
      <w:r w:rsidRPr="0040483C">
        <w:rPr>
          <w:highlight w:val="yellow"/>
        </w:rPr>
        <w:t xml:space="preserve"> </w:t>
      </w:r>
      <w:proofErr w:type="spellStart"/>
      <w:r w:rsidRPr="0040483C">
        <w:rPr>
          <w:highlight w:val="yellow"/>
        </w:rPr>
        <w:t>Treos</w:t>
      </w:r>
      <w:proofErr w:type="spellEnd"/>
      <w:r w:rsidRPr="0040483C">
        <w:rPr>
          <w:highlight w:val="yellow"/>
        </w:rPr>
        <w:t xml:space="preserve"> and a Wyatt Technologies </w:t>
      </w:r>
      <w:proofErr w:type="spellStart"/>
      <w:r w:rsidRPr="0040483C">
        <w:rPr>
          <w:highlight w:val="yellow"/>
        </w:rPr>
        <w:t>Viscostar</w:t>
      </w:r>
      <w:proofErr w:type="spellEnd"/>
      <w:r w:rsidRPr="0040483C">
        <w:rPr>
          <w:highlight w:val="yellow"/>
        </w:rPr>
        <w:t xml:space="preserve"> II viscometer detectors. The mobile phase was HPLC grade tetrahydrofuran. Samples were run on a Phenomenex </w:t>
      </w:r>
      <w:proofErr w:type="spellStart"/>
      <w:r w:rsidRPr="0040483C">
        <w:rPr>
          <w:highlight w:val="yellow"/>
        </w:rPr>
        <w:t>Penogel</w:t>
      </w:r>
      <w:proofErr w:type="spellEnd"/>
      <w:r w:rsidRPr="0040483C">
        <w:rPr>
          <w:highlight w:val="yellow"/>
        </w:rPr>
        <w:t xml:space="preserve"> 5μm Linear (2) column in conjunction with a guard. All data obtained from chromatographic traces were analysed by ASTRA 6 software from Wyatt technology. The molar mass distribution of a particular polymer was determined from the retention volume of the chromatographic peak maximum and the retention volume range of the peak, respectively. Samples were prepared in the mobile phase at a concentration 1 mg </w:t>
      </w:r>
      <w:proofErr w:type="gramStart"/>
      <w:r w:rsidRPr="0040483C">
        <w:rPr>
          <w:highlight w:val="yellow"/>
        </w:rPr>
        <w:t>mL</w:t>
      </w:r>
      <w:r w:rsidR="0040483C" w:rsidRPr="0040483C">
        <w:rPr>
          <w:highlight w:val="yellow"/>
          <w:vertAlign w:val="superscript"/>
        </w:rPr>
        <w:t>–</w:t>
      </w:r>
      <w:r w:rsidRPr="0040483C">
        <w:rPr>
          <w:highlight w:val="yellow"/>
          <w:vertAlign w:val="superscript"/>
        </w:rPr>
        <w:t>1</w:t>
      </w:r>
      <w:proofErr w:type="gramEnd"/>
      <w:r w:rsidRPr="0040483C">
        <w:rPr>
          <w:highlight w:val="yellow"/>
        </w:rPr>
        <w:t xml:space="preserve">. </w:t>
      </w:r>
    </w:p>
    <w:p w14:paraId="6C14D85E" w14:textId="0DE82347" w:rsidR="00380B92" w:rsidRPr="0040483C" w:rsidRDefault="00000000">
      <w:pPr>
        <w:spacing w:after="160" w:line="480" w:lineRule="auto"/>
        <w:jc w:val="both"/>
        <w:rPr>
          <w:highlight w:val="yellow"/>
        </w:rPr>
      </w:pPr>
      <w:r w:rsidRPr="0040483C">
        <w:rPr>
          <w:highlight w:val="yellow"/>
        </w:rPr>
        <w:t>UV-vis absorption measurements were carried out using a Cary 60, in a 1 cm pathlength quartz cuvette. The UV-vis spectra were collected between 200 nm – 800 nm at 200 nm min</w:t>
      </w:r>
      <w:r w:rsidR="0040483C" w:rsidRPr="0040483C">
        <w:rPr>
          <w:highlight w:val="yellow"/>
          <w:vertAlign w:val="superscript"/>
        </w:rPr>
        <w:t>–</w:t>
      </w:r>
      <w:r w:rsidRPr="0040483C">
        <w:rPr>
          <w:highlight w:val="yellow"/>
          <w:vertAlign w:val="superscript"/>
        </w:rPr>
        <w:t>1</w:t>
      </w:r>
      <w:r w:rsidRPr="0040483C">
        <w:rPr>
          <w:highlight w:val="yellow"/>
        </w:rPr>
        <w:t xml:space="preserve"> using Cary </w:t>
      </w:r>
      <w:proofErr w:type="spellStart"/>
      <w:r w:rsidRPr="0040483C">
        <w:rPr>
          <w:highlight w:val="yellow"/>
        </w:rPr>
        <w:t>WinUV</w:t>
      </w:r>
      <w:proofErr w:type="spellEnd"/>
      <w:r w:rsidRPr="0040483C">
        <w:rPr>
          <w:highlight w:val="yellow"/>
        </w:rPr>
        <w:t xml:space="preserve"> software. Samples were prepared in dichloromethane, unless stated otherwise, to a concentration around 3.91</w:t>
      </w:r>
      <w:r w:rsidRPr="0040483C">
        <w:rPr>
          <w:i/>
          <w:highlight w:val="yellow"/>
        </w:rPr>
        <w:t xml:space="preserve"> x </w:t>
      </w:r>
      <w:r w:rsidRPr="0040483C">
        <w:rPr>
          <w:highlight w:val="yellow"/>
        </w:rPr>
        <w:t>10</w:t>
      </w:r>
      <w:r w:rsidR="0040483C" w:rsidRPr="0040483C">
        <w:rPr>
          <w:highlight w:val="yellow"/>
          <w:vertAlign w:val="superscript"/>
        </w:rPr>
        <w:t>–</w:t>
      </w:r>
      <w:r w:rsidRPr="0040483C">
        <w:rPr>
          <w:highlight w:val="yellow"/>
          <w:vertAlign w:val="superscript"/>
        </w:rPr>
        <w:t>3</w:t>
      </w:r>
      <w:r w:rsidRPr="0040483C">
        <w:rPr>
          <w:highlight w:val="yellow"/>
        </w:rPr>
        <w:t xml:space="preserve"> g L</w:t>
      </w:r>
      <w:r w:rsidR="0040483C" w:rsidRPr="0040483C">
        <w:rPr>
          <w:highlight w:val="yellow"/>
          <w:vertAlign w:val="superscript"/>
        </w:rPr>
        <w:t>–</w:t>
      </w:r>
      <w:r w:rsidRPr="0040483C">
        <w:rPr>
          <w:highlight w:val="yellow"/>
          <w:vertAlign w:val="superscript"/>
        </w:rPr>
        <w:t>1</w:t>
      </w:r>
      <w:r w:rsidRPr="0040483C">
        <w:rPr>
          <w:highlight w:val="yellow"/>
        </w:rPr>
        <w:t>.</w:t>
      </w:r>
      <w:r w:rsidRPr="0040483C">
        <w:rPr>
          <w:highlight w:val="yellow"/>
          <w:vertAlign w:val="superscript"/>
        </w:rPr>
        <w:t xml:space="preserve"> </w:t>
      </w:r>
      <w:r w:rsidRPr="0040483C">
        <w:rPr>
          <w:highlight w:val="yellow"/>
        </w:rPr>
        <w:t xml:space="preserve">Precise concentrations were obtained by weighing the sample on a Mettler Toledo XPE205 </w:t>
      </w:r>
      <w:proofErr w:type="spellStart"/>
      <w:r w:rsidRPr="0040483C">
        <w:rPr>
          <w:highlight w:val="yellow"/>
        </w:rPr>
        <w:t>DeltaRange</w:t>
      </w:r>
      <w:proofErr w:type="spellEnd"/>
      <w:r w:rsidRPr="0040483C">
        <w:rPr>
          <w:highlight w:val="yellow"/>
        </w:rPr>
        <w:t xml:space="preserve"> balance and diluting using volumetric flasks with a resulting error of ±0.015</w:t>
      </w:r>
      <w:r w:rsidRPr="0040483C">
        <w:rPr>
          <w:i/>
          <w:highlight w:val="yellow"/>
        </w:rPr>
        <w:t xml:space="preserve"> x </w:t>
      </w:r>
      <w:r w:rsidRPr="0040483C">
        <w:rPr>
          <w:highlight w:val="yellow"/>
        </w:rPr>
        <w:t>10</w:t>
      </w:r>
      <w:r w:rsidR="0040483C" w:rsidRPr="0040483C">
        <w:rPr>
          <w:highlight w:val="yellow"/>
          <w:vertAlign w:val="superscript"/>
        </w:rPr>
        <w:t>–</w:t>
      </w:r>
      <w:r w:rsidRPr="0040483C">
        <w:rPr>
          <w:highlight w:val="yellow"/>
          <w:vertAlign w:val="superscript"/>
        </w:rPr>
        <w:t xml:space="preserve">4 </w:t>
      </w:r>
      <w:r w:rsidRPr="0040483C">
        <w:rPr>
          <w:highlight w:val="yellow"/>
        </w:rPr>
        <w:t>g L</w:t>
      </w:r>
      <w:r w:rsidR="0040483C" w:rsidRPr="0040483C">
        <w:rPr>
          <w:highlight w:val="yellow"/>
          <w:vertAlign w:val="superscript"/>
        </w:rPr>
        <w:t>–</w:t>
      </w:r>
      <w:r w:rsidRPr="0040483C">
        <w:rPr>
          <w:highlight w:val="yellow"/>
          <w:vertAlign w:val="superscript"/>
        </w:rPr>
        <w:t>1</w:t>
      </w:r>
      <w:r w:rsidRPr="0040483C">
        <w:rPr>
          <w:highlight w:val="yellow"/>
        </w:rPr>
        <w:t>.</w:t>
      </w:r>
    </w:p>
    <w:p w14:paraId="76BD7DF0" w14:textId="77777777" w:rsidR="00380B92" w:rsidRPr="0040483C" w:rsidRDefault="00000000">
      <w:pPr>
        <w:spacing w:after="160" w:line="480" w:lineRule="auto"/>
        <w:jc w:val="both"/>
        <w:rPr>
          <w:highlight w:val="yellow"/>
        </w:rPr>
      </w:pPr>
      <w:r w:rsidRPr="0040483C">
        <w:rPr>
          <w:highlight w:val="yellow"/>
        </w:rPr>
        <w:lastRenderedPageBreak/>
        <w:t xml:space="preserve">Sample irradiations were carried out with an </w:t>
      </w:r>
      <w:proofErr w:type="spellStart"/>
      <w:r w:rsidRPr="0040483C">
        <w:rPr>
          <w:highlight w:val="yellow"/>
        </w:rPr>
        <w:t>OmniCure</w:t>
      </w:r>
      <w:proofErr w:type="spellEnd"/>
      <w:r w:rsidRPr="0040483C">
        <w:rPr>
          <w:highlight w:val="yellow"/>
        </w:rPr>
        <w:t>® LX500 Ultra-compact UV LED spot curing system. Irradiation was performed at 10 mm from the 365 nm UV LED spot curing head equipped with a 12 mm focusing lens.</w:t>
      </w:r>
    </w:p>
    <w:p w14:paraId="23AB2D8F" w14:textId="77777777" w:rsidR="00380B92" w:rsidRPr="0040483C" w:rsidRDefault="00000000">
      <w:pPr>
        <w:spacing w:after="160" w:line="480" w:lineRule="auto"/>
        <w:jc w:val="both"/>
        <w:rPr>
          <w:highlight w:val="yellow"/>
        </w:rPr>
      </w:pPr>
      <w:r w:rsidRPr="0040483C">
        <w:rPr>
          <w:highlight w:val="yellow"/>
        </w:rPr>
        <w:t xml:space="preserve">Optical microscopy was performed on a Zeiss </w:t>
      </w:r>
      <w:proofErr w:type="spellStart"/>
      <w:r w:rsidRPr="0040483C">
        <w:rPr>
          <w:highlight w:val="yellow"/>
        </w:rPr>
        <w:t>Axio</w:t>
      </w:r>
      <w:proofErr w:type="spellEnd"/>
      <w:r w:rsidRPr="0040483C">
        <w:rPr>
          <w:highlight w:val="yellow"/>
        </w:rPr>
        <w:t xml:space="preserve"> Scope.A1 microscope and used in conjunction with a Canon 700D digital camera.</w:t>
      </w:r>
    </w:p>
    <w:p w14:paraId="78FF96D2" w14:textId="77777777" w:rsidR="00380B92" w:rsidRPr="0040483C" w:rsidRDefault="00000000">
      <w:pPr>
        <w:spacing w:after="160" w:line="480" w:lineRule="auto"/>
        <w:jc w:val="both"/>
        <w:rPr>
          <w:highlight w:val="yellow"/>
        </w:rPr>
      </w:pPr>
      <w:r w:rsidRPr="0040483C">
        <w:rPr>
          <w:highlight w:val="yellow"/>
        </w:rPr>
        <w:t>Scanning electron microscopy was performed on a JEOL JSM 7800F, with samples mounted on ITO coated glass slides. Refractive index values were measured using an ABBE 5 refractometer alongside an acetone standard. Measurements were made for azobenzene-based polymers films coated using a deposition concentration of 25 mg mL</w:t>
      </w:r>
      <w:r w:rsidRPr="0040483C">
        <w:rPr>
          <w:highlight w:val="yellow"/>
          <w:vertAlign w:val="superscript"/>
        </w:rPr>
        <w:t>-1</w:t>
      </w:r>
      <w:r w:rsidRPr="0040483C">
        <w:rPr>
          <w:highlight w:val="yellow"/>
        </w:rPr>
        <w:t>. Preliminary contact profilometry surface data were recorded using an SJ-400 surface profilometer. Measurements were made for azobenzene-based polymers films coated using a deposition concentration of 25 mg mL</w:t>
      </w:r>
      <w:r w:rsidRPr="0040483C">
        <w:rPr>
          <w:highlight w:val="yellow"/>
          <w:vertAlign w:val="superscript"/>
        </w:rPr>
        <w:t>-1</w:t>
      </w:r>
      <w:r w:rsidRPr="0040483C">
        <w:rPr>
          <w:highlight w:val="yellow"/>
        </w:rPr>
        <w:t xml:space="preserve">. </w:t>
      </w:r>
    </w:p>
    <w:p w14:paraId="2E5FEA18" w14:textId="5608E28B" w:rsidR="00380B92" w:rsidRDefault="00000000">
      <w:pPr>
        <w:spacing w:after="160" w:line="480" w:lineRule="auto"/>
        <w:jc w:val="both"/>
      </w:pPr>
      <w:r w:rsidRPr="0040483C">
        <w:rPr>
          <w:highlight w:val="yellow"/>
        </w:rPr>
        <w:t>Any errors reported are the standard deviation of repeat experiments unless otherwise stated, in such circumstance</w:t>
      </w:r>
      <w:r w:rsidR="0040483C" w:rsidRPr="0040483C">
        <w:rPr>
          <w:highlight w:val="yellow"/>
        </w:rPr>
        <w:t>s</w:t>
      </w:r>
      <w:r w:rsidRPr="0040483C">
        <w:rPr>
          <w:highlight w:val="yellow"/>
        </w:rPr>
        <w:t xml:space="preserve"> the error relates to the systematic error inherent to the preformed experimental method where error analysis has been undertaken.</w:t>
      </w:r>
    </w:p>
    <w:p w14:paraId="4194A6EC" w14:textId="2796728C" w:rsidR="002B1B0B" w:rsidRPr="005B72E9" w:rsidRDefault="001C4BC4" w:rsidP="002B1B0B">
      <w:pPr>
        <w:spacing w:after="160" w:line="480" w:lineRule="auto"/>
        <w:jc w:val="both"/>
        <w:rPr>
          <w:b/>
          <w:highlight w:val="yellow"/>
        </w:rPr>
      </w:pPr>
      <w:r>
        <w:rPr>
          <w:b/>
          <w:highlight w:val="yellow"/>
        </w:rPr>
        <w:t>SUPPORTING INFORMATION</w:t>
      </w:r>
    </w:p>
    <w:p w14:paraId="5CE7BEEE" w14:textId="56006924" w:rsidR="002B1B0B" w:rsidRDefault="001C4BC4" w:rsidP="002B1B0B">
      <w:pPr>
        <w:spacing w:after="160" w:line="480" w:lineRule="auto"/>
        <w:jc w:val="both"/>
        <w:rPr>
          <w:b/>
        </w:rPr>
      </w:pPr>
      <w:r w:rsidRPr="001C4BC4">
        <w:rPr>
          <w:highlight w:val="yellow"/>
        </w:rPr>
        <w:t>Materials and methods, synthetic procedures, additional characterisation details and data.</w:t>
      </w:r>
    </w:p>
    <w:p w14:paraId="2DAE6DD0" w14:textId="3DEA345E" w:rsidR="00380B92" w:rsidRDefault="00000000">
      <w:pPr>
        <w:spacing w:after="160" w:line="480" w:lineRule="auto"/>
        <w:jc w:val="both"/>
        <w:rPr>
          <w:b/>
        </w:rPr>
      </w:pPr>
      <w:r>
        <w:rPr>
          <w:b/>
        </w:rPr>
        <w:t>ACKNOWLEDGEMENTS</w:t>
      </w:r>
    </w:p>
    <w:p w14:paraId="17B79CD5" w14:textId="77777777" w:rsidR="00380B92" w:rsidRDefault="00000000">
      <w:pPr>
        <w:spacing w:after="160" w:line="480" w:lineRule="auto"/>
        <w:jc w:val="both"/>
      </w:pPr>
      <w:r>
        <w:t>We acknowledge Jaguar Land Rover Ltd for funding this work.</w:t>
      </w:r>
    </w:p>
    <w:p w14:paraId="5B0BA2B3" w14:textId="77777777" w:rsidR="00287946" w:rsidRDefault="00287946">
      <w:pPr>
        <w:rPr>
          <w:b/>
        </w:rPr>
      </w:pPr>
      <w:r>
        <w:rPr>
          <w:b/>
        </w:rPr>
        <w:br w:type="page"/>
      </w:r>
    </w:p>
    <w:p w14:paraId="65B30530" w14:textId="4C156D3E" w:rsidR="00380B92" w:rsidRPr="00287946" w:rsidRDefault="00000000" w:rsidP="00287946">
      <w:pPr>
        <w:spacing w:after="160" w:line="480" w:lineRule="auto"/>
        <w:jc w:val="both"/>
      </w:pPr>
      <w:r>
        <w:rPr>
          <w:b/>
        </w:rPr>
        <w:lastRenderedPageBreak/>
        <w:t>REFERENCES</w:t>
      </w:r>
    </w:p>
    <w:p w14:paraId="4A88D04D" w14:textId="6D0CCCB8" w:rsidR="00AD41AB" w:rsidRPr="00AD41AB" w:rsidRDefault="00D05EDA" w:rsidP="00AD41AB">
      <w:pPr>
        <w:pStyle w:val="Bibliography"/>
      </w:pPr>
      <w:r>
        <w:fldChar w:fldCharType="begin"/>
      </w:r>
      <w:r>
        <w:instrText xml:space="preserve"> ADDIN ZOTERO_BIBL {"uncited":[],"omitted":[],"custom":[]} CSL_BIBLIOGRAPHY </w:instrText>
      </w:r>
      <w:r>
        <w:fldChar w:fldCharType="separate"/>
      </w:r>
      <w:r w:rsidR="00AD41AB" w:rsidRPr="00AD41AB">
        <w:t>(1)</w:t>
      </w:r>
      <w:r w:rsidR="00AD41AB" w:rsidRPr="00AD41AB">
        <w:tab/>
        <w:t xml:space="preserve">Kucharski, T. J.; Tian, Y.; </w:t>
      </w:r>
      <w:proofErr w:type="spellStart"/>
      <w:r w:rsidR="00AD41AB" w:rsidRPr="00AD41AB">
        <w:t>Akbulatov</w:t>
      </w:r>
      <w:proofErr w:type="spellEnd"/>
      <w:r w:rsidR="00AD41AB" w:rsidRPr="00AD41AB">
        <w:t xml:space="preserve">, S.; </w:t>
      </w:r>
      <w:proofErr w:type="spellStart"/>
      <w:r w:rsidR="00AD41AB" w:rsidRPr="00AD41AB">
        <w:t>Boulatov</w:t>
      </w:r>
      <w:proofErr w:type="spellEnd"/>
      <w:r w:rsidR="00AD41AB" w:rsidRPr="00AD41AB">
        <w:t xml:space="preserve">, R. Chemical Solutions for the Closed-Cycle Storage of Solar Energy. </w:t>
      </w:r>
      <w:r w:rsidR="00AD41AB" w:rsidRPr="00AD41AB">
        <w:rPr>
          <w:i/>
          <w:iCs/>
        </w:rPr>
        <w:t>Energy Environ. Sci.</w:t>
      </w:r>
      <w:r w:rsidR="00AD41AB" w:rsidRPr="00AD41AB">
        <w:t xml:space="preserve"> </w:t>
      </w:r>
      <w:r w:rsidR="00AD41AB" w:rsidRPr="00AD41AB">
        <w:rPr>
          <w:b/>
          <w:bCs/>
        </w:rPr>
        <w:t>2011</w:t>
      </w:r>
      <w:r w:rsidR="00AD41AB" w:rsidRPr="00AD41AB">
        <w:t xml:space="preserve">, </w:t>
      </w:r>
      <w:r w:rsidR="00AD41AB" w:rsidRPr="00AD41AB">
        <w:rPr>
          <w:i/>
          <w:iCs/>
        </w:rPr>
        <w:t>4</w:t>
      </w:r>
      <w:r w:rsidR="00AD41AB" w:rsidRPr="00AD41AB">
        <w:t xml:space="preserve"> (11), 4449–4472. </w:t>
      </w:r>
    </w:p>
    <w:p w14:paraId="7DABE6D8" w14:textId="75E13D81" w:rsidR="00AD41AB" w:rsidRPr="00AD41AB" w:rsidRDefault="00AD41AB" w:rsidP="00AD41AB">
      <w:pPr>
        <w:pStyle w:val="Bibliography"/>
      </w:pPr>
      <w:r w:rsidRPr="00AD41AB">
        <w:t>(2)</w:t>
      </w:r>
      <w:r w:rsidRPr="00AD41AB">
        <w:tab/>
      </w:r>
      <w:proofErr w:type="spellStart"/>
      <w:r w:rsidRPr="00AD41AB">
        <w:t>Baroncini</w:t>
      </w:r>
      <w:proofErr w:type="spellEnd"/>
      <w:r w:rsidRPr="00AD41AB">
        <w:t xml:space="preserve">, M.; Canton, M.; </w:t>
      </w:r>
      <w:proofErr w:type="spellStart"/>
      <w:r w:rsidRPr="00AD41AB">
        <w:t>Casimiro</w:t>
      </w:r>
      <w:proofErr w:type="spellEnd"/>
      <w:r w:rsidRPr="00AD41AB">
        <w:t xml:space="preserve">, L.; </w:t>
      </w:r>
      <w:proofErr w:type="spellStart"/>
      <w:r w:rsidRPr="00AD41AB">
        <w:t>Corra</w:t>
      </w:r>
      <w:proofErr w:type="spellEnd"/>
      <w:r w:rsidRPr="00AD41AB">
        <w:t xml:space="preserve">, S.; </w:t>
      </w:r>
      <w:proofErr w:type="spellStart"/>
      <w:r w:rsidRPr="00AD41AB">
        <w:t>Groppi</w:t>
      </w:r>
      <w:proofErr w:type="spellEnd"/>
      <w:r w:rsidRPr="00AD41AB">
        <w:t xml:space="preserve">, J.; La Rosa, M.; </w:t>
      </w:r>
      <w:proofErr w:type="spellStart"/>
      <w:r w:rsidRPr="00AD41AB">
        <w:t>Silvi</w:t>
      </w:r>
      <w:proofErr w:type="spellEnd"/>
      <w:r w:rsidRPr="00AD41AB">
        <w:t xml:space="preserve">, S.; </w:t>
      </w:r>
      <w:proofErr w:type="spellStart"/>
      <w:r w:rsidRPr="00AD41AB">
        <w:t>Credi</w:t>
      </w:r>
      <w:proofErr w:type="spellEnd"/>
      <w:r w:rsidRPr="00AD41AB">
        <w:t xml:space="preserve">, A. Photoactive Molecular-Based Devices, Machines and Materials: Recent Advances. </w:t>
      </w:r>
      <w:r w:rsidRPr="00AD41AB">
        <w:rPr>
          <w:i/>
          <w:iCs/>
        </w:rPr>
        <w:t xml:space="preserve">Eur. J. </w:t>
      </w:r>
      <w:proofErr w:type="spellStart"/>
      <w:r w:rsidRPr="00AD41AB">
        <w:rPr>
          <w:i/>
          <w:iCs/>
        </w:rPr>
        <w:t>Inorg</w:t>
      </w:r>
      <w:proofErr w:type="spellEnd"/>
      <w:r w:rsidRPr="00AD41AB">
        <w:rPr>
          <w:i/>
          <w:iCs/>
        </w:rPr>
        <w:t>. Chem.</w:t>
      </w:r>
      <w:r w:rsidRPr="00AD41AB">
        <w:t xml:space="preserve"> </w:t>
      </w:r>
      <w:r w:rsidRPr="00AD41AB">
        <w:rPr>
          <w:b/>
          <w:bCs/>
        </w:rPr>
        <w:t>2018</w:t>
      </w:r>
      <w:r w:rsidRPr="00AD41AB">
        <w:t xml:space="preserve">, </w:t>
      </w:r>
      <w:r w:rsidRPr="00AD41AB">
        <w:rPr>
          <w:i/>
          <w:iCs/>
        </w:rPr>
        <w:t>2018</w:t>
      </w:r>
      <w:r w:rsidRPr="00AD41AB">
        <w:t xml:space="preserve"> (42), 4589–4603. </w:t>
      </w:r>
    </w:p>
    <w:p w14:paraId="46C3FA9C" w14:textId="5D018748" w:rsidR="00AD41AB" w:rsidRPr="00AD41AB" w:rsidRDefault="00AD41AB" w:rsidP="00AD41AB">
      <w:pPr>
        <w:pStyle w:val="Bibliography"/>
      </w:pPr>
      <w:r w:rsidRPr="00AD41AB">
        <w:t>(3)</w:t>
      </w:r>
      <w:r w:rsidRPr="00AD41AB">
        <w:tab/>
      </w:r>
      <w:proofErr w:type="spellStart"/>
      <w:r w:rsidRPr="00AD41AB">
        <w:t>Dreos</w:t>
      </w:r>
      <w:proofErr w:type="spellEnd"/>
      <w:r w:rsidRPr="00AD41AB">
        <w:t xml:space="preserve">, A.; Wang, Z.; </w:t>
      </w:r>
      <w:proofErr w:type="spellStart"/>
      <w:r w:rsidRPr="00AD41AB">
        <w:t>Udmark</w:t>
      </w:r>
      <w:proofErr w:type="spellEnd"/>
      <w:r w:rsidRPr="00AD41AB">
        <w:t xml:space="preserve">, J.; </w:t>
      </w:r>
      <w:proofErr w:type="spellStart"/>
      <w:r w:rsidRPr="00AD41AB">
        <w:t>Ström</w:t>
      </w:r>
      <w:proofErr w:type="spellEnd"/>
      <w:r w:rsidRPr="00AD41AB">
        <w:t xml:space="preserve">, A.; </w:t>
      </w:r>
      <w:proofErr w:type="spellStart"/>
      <w:r w:rsidRPr="00AD41AB">
        <w:t>Erhart</w:t>
      </w:r>
      <w:proofErr w:type="spellEnd"/>
      <w:r w:rsidRPr="00AD41AB">
        <w:t xml:space="preserve">, P.; </w:t>
      </w:r>
      <w:proofErr w:type="spellStart"/>
      <w:r w:rsidRPr="00AD41AB">
        <w:t>Börjesson</w:t>
      </w:r>
      <w:proofErr w:type="spellEnd"/>
      <w:r w:rsidRPr="00AD41AB">
        <w:t xml:space="preserve">, K.; Nielsen, M. B.; Moth-Poulsen, K. Liquid Norbornadiene </w:t>
      </w:r>
      <w:proofErr w:type="spellStart"/>
      <w:r w:rsidRPr="00AD41AB">
        <w:t>Photoswitches</w:t>
      </w:r>
      <w:proofErr w:type="spellEnd"/>
      <w:r w:rsidRPr="00AD41AB">
        <w:t xml:space="preserve"> for Solar Energy Storage. </w:t>
      </w:r>
      <w:r w:rsidRPr="00AD41AB">
        <w:rPr>
          <w:i/>
          <w:iCs/>
        </w:rPr>
        <w:t>Adv. Energy Mater.</w:t>
      </w:r>
      <w:r w:rsidRPr="00AD41AB">
        <w:t xml:space="preserve"> </w:t>
      </w:r>
      <w:r w:rsidRPr="00AD41AB">
        <w:rPr>
          <w:b/>
          <w:bCs/>
        </w:rPr>
        <w:t>2018</w:t>
      </w:r>
      <w:r w:rsidRPr="00AD41AB">
        <w:t xml:space="preserve">, </w:t>
      </w:r>
      <w:r w:rsidRPr="00AD41AB">
        <w:rPr>
          <w:i/>
          <w:iCs/>
        </w:rPr>
        <w:t>8</w:t>
      </w:r>
      <w:r w:rsidRPr="00AD41AB">
        <w:t xml:space="preserve"> (18), 1703401. </w:t>
      </w:r>
    </w:p>
    <w:p w14:paraId="6771FC2D" w14:textId="1EAFB418" w:rsidR="00AD41AB" w:rsidRPr="00AD41AB" w:rsidRDefault="00AD41AB" w:rsidP="00AD41AB">
      <w:pPr>
        <w:pStyle w:val="Bibliography"/>
      </w:pPr>
      <w:r w:rsidRPr="00AD41AB">
        <w:t>(4)</w:t>
      </w:r>
      <w:r w:rsidRPr="00AD41AB">
        <w:tab/>
        <w:t xml:space="preserve">Gray, V.; </w:t>
      </w:r>
      <w:proofErr w:type="spellStart"/>
      <w:r w:rsidRPr="00AD41AB">
        <w:t>Lennartson</w:t>
      </w:r>
      <w:proofErr w:type="spellEnd"/>
      <w:r w:rsidRPr="00AD41AB">
        <w:t xml:space="preserve">, A.; </w:t>
      </w:r>
      <w:proofErr w:type="spellStart"/>
      <w:r w:rsidRPr="00AD41AB">
        <w:t>Ratanalert</w:t>
      </w:r>
      <w:proofErr w:type="spellEnd"/>
      <w:r w:rsidRPr="00AD41AB">
        <w:t xml:space="preserve">, P.; </w:t>
      </w:r>
      <w:proofErr w:type="spellStart"/>
      <w:r w:rsidRPr="00AD41AB">
        <w:t>Börjesson</w:t>
      </w:r>
      <w:proofErr w:type="spellEnd"/>
      <w:r w:rsidRPr="00AD41AB">
        <w:t xml:space="preserve">, K.; Moth-Poulsen, K. </w:t>
      </w:r>
      <w:proofErr w:type="spellStart"/>
      <w:r w:rsidRPr="00AD41AB">
        <w:t>Diaryl</w:t>
      </w:r>
      <w:proofErr w:type="spellEnd"/>
      <w:r w:rsidRPr="00AD41AB">
        <w:t xml:space="preserve">-Substituted </w:t>
      </w:r>
      <w:proofErr w:type="spellStart"/>
      <w:r w:rsidRPr="00AD41AB">
        <w:t>Norbornadienes</w:t>
      </w:r>
      <w:proofErr w:type="spellEnd"/>
      <w:r w:rsidRPr="00AD41AB">
        <w:t xml:space="preserve"> with Red-Shifted Absorption for Molecular Solar Thermal Energy Storage. </w:t>
      </w:r>
      <w:r w:rsidRPr="00AD41AB">
        <w:rPr>
          <w:i/>
          <w:iCs/>
        </w:rPr>
        <w:t xml:space="preserve">Chem. </w:t>
      </w:r>
      <w:proofErr w:type="spellStart"/>
      <w:r w:rsidRPr="00AD41AB">
        <w:rPr>
          <w:i/>
          <w:iCs/>
        </w:rPr>
        <w:t>Commun</w:t>
      </w:r>
      <w:proofErr w:type="spellEnd"/>
      <w:r w:rsidRPr="00AD41AB">
        <w:rPr>
          <w:i/>
          <w:iCs/>
        </w:rPr>
        <w:t>.</w:t>
      </w:r>
      <w:r w:rsidRPr="00AD41AB">
        <w:t xml:space="preserve"> </w:t>
      </w:r>
      <w:r w:rsidRPr="00AD41AB">
        <w:rPr>
          <w:b/>
          <w:bCs/>
        </w:rPr>
        <w:t>2014</w:t>
      </w:r>
      <w:r w:rsidRPr="00AD41AB">
        <w:t xml:space="preserve">, </w:t>
      </w:r>
      <w:r w:rsidRPr="00AD41AB">
        <w:rPr>
          <w:i/>
          <w:iCs/>
        </w:rPr>
        <w:t>50</w:t>
      </w:r>
      <w:r w:rsidRPr="00AD41AB">
        <w:t xml:space="preserve"> (40), 5330–5332. </w:t>
      </w:r>
    </w:p>
    <w:p w14:paraId="1AE42B75" w14:textId="559CB583" w:rsidR="00AD41AB" w:rsidRPr="00AD41AB" w:rsidRDefault="00AD41AB" w:rsidP="00AD41AB">
      <w:pPr>
        <w:pStyle w:val="Bibliography"/>
      </w:pPr>
      <w:r w:rsidRPr="00AD41AB">
        <w:t>(5)</w:t>
      </w:r>
      <w:r w:rsidRPr="00AD41AB">
        <w:tab/>
        <w:t xml:space="preserve">Boese, R.; </w:t>
      </w:r>
      <w:proofErr w:type="spellStart"/>
      <w:r w:rsidRPr="00AD41AB">
        <w:t>Cammack</w:t>
      </w:r>
      <w:proofErr w:type="spellEnd"/>
      <w:r w:rsidRPr="00AD41AB">
        <w:t xml:space="preserve">, J. K.; </w:t>
      </w:r>
      <w:proofErr w:type="spellStart"/>
      <w:r w:rsidRPr="00AD41AB">
        <w:t>Matzger</w:t>
      </w:r>
      <w:proofErr w:type="spellEnd"/>
      <w:r w:rsidRPr="00AD41AB">
        <w:t xml:space="preserve">, A. J.; </w:t>
      </w:r>
      <w:proofErr w:type="spellStart"/>
      <w:r w:rsidRPr="00AD41AB">
        <w:t>Pflug</w:t>
      </w:r>
      <w:proofErr w:type="spellEnd"/>
      <w:r w:rsidRPr="00AD41AB">
        <w:t xml:space="preserve">, K.; Tolman, W. B.; </w:t>
      </w:r>
      <w:proofErr w:type="spellStart"/>
      <w:r w:rsidRPr="00AD41AB">
        <w:t>Vollhardt</w:t>
      </w:r>
      <w:proofErr w:type="spellEnd"/>
      <w:r w:rsidRPr="00AD41AB">
        <w:t>, K. P. C.; Weidman, T. W. Photochemistry of (Fulvalene)</w:t>
      </w:r>
      <w:proofErr w:type="spellStart"/>
      <w:r w:rsidRPr="00AD41AB">
        <w:t>Tetracarbonyldiruthenium</w:t>
      </w:r>
      <w:proofErr w:type="spellEnd"/>
      <w:r w:rsidRPr="00AD41AB">
        <w:t xml:space="preserve"> and Its Derivatives: Efficient Light Energy Storage Devices. </w:t>
      </w:r>
      <w:r w:rsidRPr="00AD41AB">
        <w:rPr>
          <w:i/>
          <w:iCs/>
        </w:rPr>
        <w:t>J. Am. Chem. Soc.</w:t>
      </w:r>
      <w:r w:rsidRPr="00AD41AB">
        <w:t xml:space="preserve"> </w:t>
      </w:r>
      <w:r w:rsidRPr="00AD41AB">
        <w:rPr>
          <w:b/>
          <w:bCs/>
        </w:rPr>
        <w:t>1997</w:t>
      </w:r>
      <w:r w:rsidRPr="00AD41AB">
        <w:t xml:space="preserve">, </w:t>
      </w:r>
      <w:r w:rsidRPr="00AD41AB">
        <w:rPr>
          <w:i/>
          <w:iCs/>
        </w:rPr>
        <w:t>119</w:t>
      </w:r>
      <w:r w:rsidRPr="00AD41AB">
        <w:t xml:space="preserve"> (29), 6757–6773. </w:t>
      </w:r>
    </w:p>
    <w:p w14:paraId="3E63EA91" w14:textId="77EC56A7" w:rsidR="00AD41AB" w:rsidRPr="00AD41AB" w:rsidRDefault="00AD41AB" w:rsidP="00AD41AB">
      <w:pPr>
        <w:pStyle w:val="Bibliography"/>
      </w:pPr>
      <w:r w:rsidRPr="00AD41AB">
        <w:t>(6)</w:t>
      </w:r>
      <w:r w:rsidRPr="00AD41AB">
        <w:tab/>
      </w:r>
      <w:proofErr w:type="spellStart"/>
      <w:r w:rsidRPr="00AD41AB">
        <w:t>Lennartson</w:t>
      </w:r>
      <w:proofErr w:type="spellEnd"/>
      <w:r w:rsidRPr="00AD41AB">
        <w:t xml:space="preserve">, A.; Lundin, A.; </w:t>
      </w:r>
      <w:proofErr w:type="spellStart"/>
      <w:r w:rsidRPr="00AD41AB">
        <w:t>Börjesson</w:t>
      </w:r>
      <w:proofErr w:type="spellEnd"/>
      <w:r w:rsidRPr="00AD41AB">
        <w:t xml:space="preserve">, K.; Gray, V.; Moth-Poulsen, K. Tuning the Photochemical Properties of the Fulvalene-Tetracarbonyl-Diruthenium System. </w:t>
      </w:r>
      <w:r w:rsidRPr="00AD41AB">
        <w:rPr>
          <w:i/>
          <w:iCs/>
        </w:rPr>
        <w:t>Dalton Trans.</w:t>
      </w:r>
      <w:r w:rsidRPr="00AD41AB">
        <w:t xml:space="preserve"> </w:t>
      </w:r>
      <w:r w:rsidRPr="00AD41AB">
        <w:rPr>
          <w:b/>
          <w:bCs/>
        </w:rPr>
        <w:t>2016</w:t>
      </w:r>
      <w:r w:rsidRPr="00AD41AB">
        <w:t xml:space="preserve">, </w:t>
      </w:r>
      <w:r w:rsidRPr="00AD41AB">
        <w:rPr>
          <w:i/>
          <w:iCs/>
        </w:rPr>
        <w:t>45</w:t>
      </w:r>
      <w:r w:rsidRPr="00AD41AB">
        <w:t xml:space="preserve"> (21), 8740–8744. </w:t>
      </w:r>
    </w:p>
    <w:p w14:paraId="1A2A85F5" w14:textId="40C52C5E" w:rsidR="00AD41AB" w:rsidRPr="00AD41AB" w:rsidRDefault="00AD41AB" w:rsidP="00AD41AB">
      <w:pPr>
        <w:pStyle w:val="Bibliography"/>
      </w:pPr>
      <w:r w:rsidRPr="00AD41AB">
        <w:t>(7)</w:t>
      </w:r>
      <w:r w:rsidRPr="00AD41AB">
        <w:tab/>
      </w:r>
      <w:proofErr w:type="spellStart"/>
      <w:r w:rsidRPr="00AD41AB">
        <w:t>Gerkman</w:t>
      </w:r>
      <w:proofErr w:type="spellEnd"/>
      <w:r w:rsidRPr="00AD41AB">
        <w:t xml:space="preserve">, M. A.; Gibson, R. S. L.; </w:t>
      </w:r>
      <w:proofErr w:type="spellStart"/>
      <w:r w:rsidRPr="00AD41AB">
        <w:t>Calbo</w:t>
      </w:r>
      <w:proofErr w:type="spellEnd"/>
      <w:r w:rsidRPr="00AD41AB">
        <w:t xml:space="preserve">, J.; Shi, Y.; </w:t>
      </w:r>
      <w:proofErr w:type="spellStart"/>
      <w:r w:rsidRPr="00AD41AB">
        <w:t>Fuchter</w:t>
      </w:r>
      <w:proofErr w:type="spellEnd"/>
      <w:r w:rsidRPr="00AD41AB">
        <w:t xml:space="preserve">, M. J.; Han, G. G. D. </w:t>
      </w:r>
      <w:proofErr w:type="spellStart"/>
      <w:r w:rsidRPr="00AD41AB">
        <w:t>Arylazopyrazoles</w:t>
      </w:r>
      <w:proofErr w:type="spellEnd"/>
      <w:r w:rsidRPr="00AD41AB">
        <w:t xml:space="preserve"> for Long-Term Thermal Energy Storage and Optically Triggered Heat Release below 0 °C. </w:t>
      </w:r>
      <w:r w:rsidRPr="00AD41AB">
        <w:rPr>
          <w:i/>
          <w:iCs/>
        </w:rPr>
        <w:t>J. Am. Chem. Soc.</w:t>
      </w:r>
      <w:r w:rsidRPr="00AD41AB">
        <w:t xml:space="preserve"> </w:t>
      </w:r>
      <w:r w:rsidRPr="00AD41AB">
        <w:rPr>
          <w:b/>
          <w:bCs/>
        </w:rPr>
        <w:t>2020</w:t>
      </w:r>
      <w:r w:rsidRPr="00AD41AB">
        <w:t xml:space="preserve">, </w:t>
      </w:r>
      <w:r w:rsidRPr="00AD41AB">
        <w:rPr>
          <w:i/>
          <w:iCs/>
        </w:rPr>
        <w:t>142</w:t>
      </w:r>
      <w:r w:rsidRPr="00AD41AB">
        <w:t xml:space="preserve"> (19), 8688–8695. </w:t>
      </w:r>
    </w:p>
    <w:p w14:paraId="6C61D434" w14:textId="6743FAF9" w:rsidR="00AD41AB" w:rsidRPr="00AD41AB" w:rsidRDefault="00AD41AB" w:rsidP="00AD41AB">
      <w:pPr>
        <w:pStyle w:val="Bibliography"/>
      </w:pPr>
      <w:r w:rsidRPr="00AD41AB">
        <w:t>(8)</w:t>
      </w:r>
      <w:r w:rsidRPr="00AD41AB">
        <w:tab/>
        <w:t xml:space="preserve">Xu, X.; Wu, B.; Zhang, P.; Xing, Y.; Shi, K.; Fang, W.; Yu, H.; Wang, G. </w:t>
      </w:r>
      <w:proofErr w:type="spellStart"/>
      <w:r w:rsidRPr="00AD41AB">
        <w:t>Arylazopyrazole</w:t>
      </w:r>
      <w:proofErr w:type="spellEnd"/>
      <w:r w:rsidRPr="00AD41AB">
        <w:t xml:space="preserve">-Based Dendrimer Solar Thermal Fuels: Stable Visible Light Storage and Controllable Heat Release. </w:t>
      </w:r>
      <w:r w:rsidRPr="00AD41AB">
        <w:rPr>
          <w:i/>
          <w:iCs/>
        </w:rPr>
        <w:t>ACS Appl. Mater. Interfaces</w:t>
      </w:r>
      <w:r w:rsidRPr="00AD41AB">
        <w:t xml:space="preserve"> </w:t>
      </w:r>
      <w:r w:rsidRPr="00AD41AB">
        <w:rPr>
          <w:b/>
          <w:bCs/>
        </w:rPr>
        <w:t>2021</w:t>
      </w:r>
      <w:r w:rsidRPr="00AD41AB">
        <w:t xml:space="preserve">, </w:t>
      </w:r>
      <w:r w:rsidRPr="00AD41AB">
        <w:rPr>
          <w:i/>
          <w:iCs/>
        </w:rPr>
        <w:t>13</w:t>
      </w:r>
      <w:r w:rsidRPr="00AD41AB">
        <w:t xml:space="preserve"> (19), 22655–22663. </w:t>
      </w:r>
    </w:p>
    <w:p w14:paraId="0016C4AF" w14:textId="360000B8" w:rsidR="00AD41AB" w:rsidRPr="00AD41AB" w:rsidRDefault="00AD41AB" w:rsidP="00AD41AB">
      <w:pPr>
        <w:pStyle w:val="Bibliography"/>
      </w:pPr>
      <w:r w:rsidRPr="00AD41AB">
        <w:t>(9)</w:t>
      </w:r>
      <w:r w:rsidRPr="00AD41AB">
        <w:tab/>
        <w:t xml:space="preserve">Gonzalez, A.; </w:t>
      </w:r>
      <w:proofErr w:type="spellStart"/>
      <w:r w:rsidRPr="00AD41AB">
        <w:t>Odaybat</w:t>
      </w:r>
      <w:proofErr w:type="spellEnd"/>
      <w:r w:rsidRPr="00AD41AB">
        <w:t xml:space="preserve">, M.; Le, M.; Greenfield, J.; White, A.; Li, X.; </w:t>
      </w:r>
      <w:proofErr w:type="spellStart"/>
      <w:r w:rsidRPr="00AD41AB">
        <w:t>Fuchter</w:t>
      </w:r>
      <w:proofErr w:type="spellEnd"/>
      <w:r w:rsidRPr="00AD41AB">
        <w:t xml:space="preserve">, M.; Han, G. </w:t>
      </w:r>
      <w:proofErr w:type="spellStart"/>
      <w:r w:rsidRPr="00AD41AB">
        <w:t>Photocontrolled</w:t>
      </w:r>
      <w:proofErr w:type="spellEnd"/>
      <w:r w:rsidRPr="00AD41AB">
        <w:t xml:space="preserve"> Energy Storage in </w:t>
      </w:r>
      <w:proofErr w:type="spellStart"/>
      <w:r w:rsidRPr="00AD41AB">
        <w:t>Azobispyrazoles</w:t>
      </w:r>
      <w:proofErr w:type="spellEnd"/>
      <w:r w:rsidRPr="00AD41AB">
        <w:t xml:space="preserve"> with Exceptionally Large Light Penetration Depths. </w:t>
      </w:r>
      <w:r w:rsidRPr="00AD41AB">
        <w:rPr>
          <w:i/>
          <w:iCs/>
        </w:rPr>
        <w:t>J. Am. Chem. Soc.</w:t>
      </w:r>
      <w:r w:rsidRPr="00AD41AB">
        <w:t xml:space="preserve"> </w:t>
      </w:r>
      <w:r w:rsidRPr="00AD41AB">
        <w:rPr>
          <w:b/>
          <w:bCs/>
        </w:rPr>
        <w:t>2022</w:t>
      </w:r>
      <w:r w:rsidRPr="00AD41AB">
        <w:t xml:space="preserve">, </w:t>
      </w:r>
      <w:r w:rsidRPr="00AD41AB">
        <w:rPr>
          <w:i/>
          <w:iCs/>
        </w:rPr>
        <w:t>144</w:t>
      </w:r>
      <w:r w:rsidRPr="00AD41AB">
        <w:t xml:space="preserve">, 19430–19436. </w:t>
      </w:r>
    </w:p>
    <w:p w14:paraId="04840F5F" w14:textId="392859A7" w:rsidR="00AD41AB" w:rsidRPr="00AD41AB" w:rsidRDefault="00AD41AB" w:rsidP="00AD41AB">
      <w:pPr>
        <w:pStyle w:val="Bibliography"/>
      </w:pPr>
      <w:r w:rsidRPr="00AD41AB">
        <w:t>(10)</w:t>
      </w:r>
      <w:r w:rsidRPr="00AD41AB">
        <w:tab/>
      </w:r>
      <w:proofErr w:type="spellStart"/>
      <w:r w:rsidRPr="00AD41AB">
        <w:t>Kolpak</w:t>
      </w:r>
      <w:proofErr w:type="spellEnd"/>
      <w:r w:rsidRPr="00AD41AB">
        <w:t xml:space="preserve">, A. M.; Grossman, J. C. Azobenzene-Functionalized Carbon Nanotubes </w:t>
      </w:r>
      <w:proofErr w:type="gramStart"/>
      <w:r w:rsidRPr="00AD41AB">
        <w:t>As</w:t>
      </w:r>
      <w:proofErr w:type="gramEnd"/>
      <w:r w:rsidRPr="00AD41AB">
        <w:t xml:space="preserve"> High-Energy Density Solar Thermal Fuels. </w:t>
      </w:r>
      <w:r w:rsidRPr="00AD41AB">
        <w:rPr>
          <w:i/>
          <w:iCs/>
        </w:rPr>
        <w:t>Nano Lett.</w:t>
      </w:r>
      <w:r w:rsidRPr="00AD41AB">
        <w:t xml:space="preserve"> </w:t>
      </w:r>
      <w:r w:rsidRPr="00AD41AB">
        <w:rPr>
          <w:b/>
          <w:bCs/>
        </w:rPr>
        <w:t>2011</w:t>
      </w:r>
      <w:r w:rsidRPr="00AD41AB">
        <w:t xml:space="preserve">, </w:t>
      </w:r>
      <w:r w:rsidRPr="00AD41AB">
        <w:rPr>
          <w:i/>
          <w:iCs/>
        </w:rPr>
        <w:t>11</w:t>
      </w:r>
      <w:r w:rsidRPr="00AD41AB">
        <w:t xml:space="preserve"> (8), 3156–3162. </w:t>
      </w:r>
    </w:p>
    <w:p w14:paraId="594E5FEA" w14:textId="5C042818" w:rsidR="00AD41AB" w:rsidRPr="00AD41AB" w:rsidRDefault="00AD41AB" w:rsidP="00AD41AB">
      <w:pPr>
        <w:pStyle w:val="Bibliography"/>
      </w:pPr>
      <w:r w:rsidRPr="00AD41AB">
        <w:t>(11)</w:t>
      </w:r>
      <w:r w:rsidRPr="00AD41AB">
        <w:tab/>
        <w:t xml:space="preserve">Kucharski, T. J.; </w:t>
      </w:r>
      <w:proofErr w:type="spellStart"/>
      <w:r w:rsidRPr="00AD41AB">
        <w:t>Ferralis</w:t>
      </w:r>
      <w:proofErr w:type="spellEnd"/>
      <w:r w:rsidRPr="00AD41AB">
        <w:t xml:space="preserve">, N.; </w:t>
      </w:r>
      <w:proofErr w:type="spellStart"/>
      <w:r w:rsidRPr="00AD41AB">
        <w:t>Kolpak</w:t>
      </w:r>
      <w:proofErr w:type="spellEnd"/>
      <w:r w:rsidRPr="00AD41AB">
        <w:t xml:space="preserve">, A. M.; Zheng, J. O.; Nocera, D. G.; Grossman, J. C. Templated Assembly of </w:t>
      </w:r>
      <w:proofErr w:type="spellStart"/>
      <w:r w:rsidRPr="00AD41AB">
        <w:t>Photoswitches</w:t>
      </w:r>
      <w:proofErr w:type="spellEnd"/>
      <w:r w:rsidRPr="00AD41AB">
        <w:t xml:space="preserve"> Significantly Increases the Energy-Storage Capacity of Solar Thermal Fuels. </w:t>
      </w:r>
      <w:r w:rsidRPr="00AD41AB">
        <w:rPr>
          <w:i/>
          <w:iCs/>
        </w:rPr>
        <w:t>Nat. Chem.</w:t>
      </w:r>
      <w:r w:rsidRPr="00AD41AB">
        <w:t xml:space="preserve"> </w:t>
      </w:r>
      <w:r w:rsidRPr="00AD41AB">
        <w:rPr>
          <w:b/>
          <w:bCs/>
        </w:rPr>
        <w:t>2014</w:t>
      </w:r>
      <w:r w:rsidRPr="00AD41AB">
        <w:t xml:space="preserve">, </w:t>
      </w:r>
      <w:r w:rsidRPr="00AD41AB">
        <w:rPr>
          <w:i/>
          <w:iCs/>
        </w:rPr>
        <w:t>6</w:t>
      </w:r>
      <w:r w:rsidRPr="00AD41AB">
        <w:t xml:space="preserve"> (5), 441–447. </w:t>
      </w:r>
    </w:p>
    <w:p w14:paraId="2EC2888B" w14:textId="2683050D" w:rsidR="00AD41AB" w:rsidRPr="00AD41AB" w:rsidRDefault="00AD41AB" w:rsidP="00AD41AB">
      <w:pPr>
        <w:pStyle w:val="Bibliography"/>
      </w:pPr>
      <w:r w:rsidRPr="00AD41AB">
        <w:t>(12)</w:t>
      </w:r>
      <w:r w:rsidRPr="00AD41AB">
        <w:tab/>
        <w:t xml:space="preserve">Cho, E. N.; </w:t>
      </w:r>
      <w:proofErr w:type="spellStart"/>
      <w:r w:rsidRPr="00AD41AB">
        <w:t>Zhitomirsky</w:t>
      </w:r>
      <w:proofErr w:type="spellEnd"/>
      <w:r w:rsidRPr="00AD41AB">
        <w:t xml:space="preserve">, D.; Han, G. G. D.; Liu, Y.; Grossman, J. C. Molecularly Engineered Azobenzene Derivatives for High Energy Density Solid-State Solar Thermal Fuels. </w:t>
      </w:r>
      <w:r w:rsidRPr="00AD41AB">
        <w:rPr>
          <w:i/>
          <w:iCs/>
        </w:rPr>
        <w:t>ACS Appl. Mater. Interfaces</w:t>
      </w:r>
      <w:r w:rsidRPr="00AD41AB">
        <w:t xml:space="preserve"> </w:t>
      </w:r>
      <w:r w:rsidRPr="00AD41AB">
        <w:rPr>
          <w:b/>
          <w:bCs/>
        </w:rPr>
        <w:t>2017</w:t>
      </w:r>
      <w:r w:rsidRPr="00AD41AB">
        <w:t xml:space="preserve">, </w:t>
      </w:r>
      <w:r w:rsidRPr="00AD41AB">
        <w:rPr>
          <w:i/>
          <w:iCs/>
        </w:rPr>
        <w:t>9</w:t>
      </w:r>
      <w:r w:rsidRPr="00AD41AB">
        <w:t xml:space="preserve"> (10), 8679–8687. </w:t>
      </w:r>
    </w:p>
    <w:p w14:paraId="77FCF969" w14:textId="0B657F85" w:rsidR="00AD41AB" w:rsidRPr="00AD41AB" w:rsidRDefault="00AD41AB" w:rsidP="00AD41AB">
      <w:pPr>
        <w:pStyle w:val="Bibliography"/>
      </w:pPr>
      <w:r w:rsidRPr="00AD41AB">
        <w:t>(13)</w:t>
      </w:r>
      <w:r w:rsidRPr="00AD41AB">
        <w:tab/>
        <w:t xml:space="preserve">Griffiths, K.; </w:t>
      </w:r>
      <w:proofErr w:type="spellStart"/>
      <w:r w:rsidRPr="00AD41AB">
        <w:t>Halcovitch</w:t>
      </w:r>
      <w:proofErr w:type="spellEnd"/>
      <w:r w:rsidRPr="00AD41AB">
        <w:t xml:space="preserve">, N. R.; Griffin, J. M. Long-Term Solar Energy Storage under Ambient Conditions in a MOF-Based Solid–Solid Phase-Change Material. </w:t>
      </w:r>
      <w:r w:rsidRPr="00AD41AB">
        <w:rPr>
          <w:i/>
          <w:iCs/>
        </w:rPr>
        <w:t>Chem. Mater.</w:t>
      </w:r>
      <w:r w:rsidRPr="00AD41AB">
        <w:t xml:space="preserve"> </w:t>
      </w:r>
      <w:r w:rsidRPr="00AD41AB">
        <w:rPr>
          <w:b/>
          <w:bCs/>
        </w:rPr>
        <w:t>2020</w:t>
      </w:r>
      <w:r w:rsidRPr="00AD41AB">
        <w:t xml:space="preserve">, </w:t>
      </w:r>
      <w:r w:rsidRPr="00AD41AB">
        <w:rPr>
          <w:i/>
          <w:iCs/>
        </w:rPr>
        <w:t>32</w:t>
      </w:r>
      <w:r w:rsidRPr="00AD41AB">
        <w:t xml:space="preserve"> (23), 9925–9936. </w:t>
      </w:r>
    </w:p>
    <w:p w14:paraId="3EF924D6" w14:textId="4FD9C2D8" w:rsidR="00AD41AB" w:rsidRPr="00AD41AB" w:rsidRDefault="00AD41AB" w:rsidP="00AD41AB">
      <w:pPr>
        <w:pStyle w:val="Bibliography"/>
      </w:pPr>
      <w:r w:rsidRPr="00AD41AB">
        <w:t>(14)</w:t>
      </w:r>
      <w:r w:rsidRPr="00AD41AB">
        <w:tab/>
        <w:t xml:space="preserve">Griffiths, K.; </w:t>
      </w:r>
      <w:proofErr w:type="spellStart"/>
      <w:r w:rsidRPr="00AD41AB">
        <w:t>Halcovitch</w:t>
      </w:r>
      <w:proofErr w:type="spellEnd"/>
      <w:r w:rsidRPr="00AD41AB">
        <w:t xml:space="preserve">, N. R.; Griffin, J. M. Efficient Solid-State </w:t>
      </w:r>
      <w:proofErr w:type="spellStart"/>
      <w:r w:rsidRPr="00AD41AB">
        <w:t>Photoswitching</w:t>
      </w:r>
      <w:proofErr w:type="spellEnd"/>
      <w:r w:rsidRPr="00AD41AB">
        <w:t xml:space="preserve"> of </w:t>
      </w:r>
      <w:proofErr w:type="spellStart"/>
      <w:r w:rsidRPr="00AD41AB">
        <w:t>Methoxyazobenzene</w:t>
      </w:r>
      <w:proofErr w:type="spellEnd"/>
      <w:r w:rsidRPr="00AD41AB">
        <w:t xml:space="preserve"> in a Metal–Organic Framework for Thermal Energy Storage. </w:t>
      </w:r>
      <w:r w:rsidRPr="00AD41AB">
        <w:rPr>
          <w:i/>
          <w:iCs/>
        </w:rPr>
        <w:t>Chem. Sci.</w:t>
      </w:r>
      <w:r w:rsidRPr="00AD41AB">
        <w:t xml:space="preserve"> </w:t>
      </w:r>
      <w:r w:rsidRPr="00AD41AB">
        <w:rPr>
          <w:b/>
          <w:bCs/>
        </w:rPr>
        <w:t>2022</w:t>
      </w:r>
      <w:r w:rsidRPr="00AD41AB">
        <w:t xml:space="preserve">, </w:t>
      </w:r>
      <w:r w:rsidRPr="00AD41AB">
        <w:rPr>
          <w:i/>
          <w:iCs/>
        </w:rPr>
        <w:t>13</w:t>
      </w:r>
      <w:r w:rsidRPr="00AD41AB">
        <w:t xml:space="preserve"> (10), 3014–3019. </w:t>
      </w:r>
    </w:p>
    <w:p w14:paraId="7706EA99" w14:textId="7014B4C7" w:rsidR="00AD41AB" w:rsidRPr="00AD41AB" w:rsidRDefault="00AD41AB" w:rsidP="00AD41AB">
      <w:pPr>
        <w:pStyle w:val="Bibliography"/>
      </w:pPr>
      <w:r w:rsidRPr="00AD41AB">
        <w:t>(15)</w:t>
      </w:r>
      <w:r w:rsidRPr="00AD41AB">
        <w:tab/>
        <w:t xml:space="preserve">Dong, L.; Feng, Y.; Wang, L.; Feng, W. Azobenzene-Based Solar Thermal Fuels: Design, Properties, and Applications. </w:t>
      </w:r>
      <w:r w:rsidRPr="00AD41AB">
        <w:rPr>
          <w:i/>
          <w:iCs/>
        </w:rPr>
        <w:t>Chem. Soc. Rev.</w:t>
      </w:r>
      <w:r w:rsidRPr="00AD41AB">
        <w:t xml:space="preserve"> </w:t>
      </w:r>
      <w:r w:rsidRPr="00AD41AB">
        <w:rPr>
          <w:b/>
          <w:bCs/>
        </w:rPr>
        <w:t>2018</w:t>
      </w:r>
      <w:r w:rsidRPr="00AD41AB">
        <w:t xml:space="preserve">, </w:t>
      </w:r>
      <w:r w:rsidRPr="00AD41AB">
        <w:rPr>
          <w:i/>
          <w:iCs/>
        </w:rPr>
        <w:t>47</w:t>
      </w:r>
      <w:r w:rsidRPr="00AD41AB">
        <w:t xml:space="preserve"> (19), 7339–7368. </w:t>
      </w:r>
    </w:p>
    <w:p w14:paraId="5F62ED03" w14:textId="65682E1A" w:rsidR="00AD41AB" w:rsidRPr="00AD41AB" w:rsidRDefault="00AD41AB" w:rsidP="00AD41AB">
      <w:pPr>
        <w:pStyle w:val="Bibliography"/>
      </w:pPr>
      <w:r w:rsidRPr="00AD41AB">
        <w:t>(16)</w:t>
      </w:r>
      <w:r w:rsidRPr="00AD41AB">
        <w:tab/>
        <w:t xml:space="preserve">Jiang, Y.; Huang, J.; Feng, W.; Zhao, X.; Wang, T.; Li, C.; Luo, W. Molecular Regulation of Nano-Structured Solid-State AZO-SWCNTs Assembly Film for the High-Energy and Short-Term Solar Thermal Storage. </w:t>
      </w:r>
      <w:r w:rsidRPr="00AD41AB">
        <w:rPr>
          <w:i/>
          <w:iCs/>
        </w:rPr>
        <w:t>Sol. Energy Mater. Sol. Cells</w:t>
      </w:r>
      <w:r w:rsidRPr="00AD41AB">
        <w:t xml:space="preserve"> </w:t>
      </w:r>
      <w:r w:rsidRPr="00AD41AB">
        <w:rPr>
          <w:b/>
          <w:bCs/>
        </w:rPr>
        <w:t>2019</w:t>
      </w:r>
      <w:r w:rsidRPr="00AD41AB">
        <w:t xml:space="preserve">, </w:t>
      </w:r>
      <w:r w:rsidRPr="00AD41AB">
        <w:rPr>
          <w:i/>
          <w:iCs/>
        </w:rPr>
        <w:t>193</w:t>
      </w:r>
      <w:r w:rsidRPr="00AD41AB">
        <w:t xml:space="preserve">, 198–205. </w:t>
      </w:r>
    </w:p>
    <w:p w14:paraId="712B68A0" w14:textId="68BD865E" w:rsidR="00AD41AB" w:rsidRPr="00AD41AB" w:rsidRDefault="00AD41AB" w:rsidP="00AD41AB">
      <w:pPr>
        <w:pStyle w:val="Bibliography"/>
      </w:pPr>
      <w:r w:rsidRPr="00AD41AB">
        <w:lastRenderedPageBreak/>
        <w:t>(17)</w:t>
      </w:r>
      <w:r w:rsidRPr="00AD41AB">
        <w:tab/>
        <w:t xml:space="preserve">Feng, Y.; Liu, H.; Luo, W.; Liu, E.; Zhao, N.; Yoshino, K.; Feng, W. Covalent Functionalization of Graphene by Azobenzene with Molecular Hydrogen Bonds for Long-Term Solar Thermal Storage. </w:t>
      </w:r>
      <w:r w:rsidRPr="00AD41AB">
        <w:rPr>
          <w:i/>
          <w:iCs/>
        </w:rPr>
        <w:t>Sci. Rep.</w:t>
      </w:r>
      <w:r w:rsidRPr="00AD41AB">
        <w:t xml:space="preserve"> </w:t>
      </w:r>
      <w:r w:rsidRPr="00AD41AB">
        <w:rPr>
          <w:b/>
          <w:bCs/>
        </w:rPr>
        <w:t>2013</w:t>
      </w:r>
      <w:r w:rsidRPr="00AD41AB">
        <w:t xml:space="preserve">, </w:t>
      </w:r>
      <w:r w:rsidRPr="00AD41AB">
        <w:rPr>
          <w:i/>
          <w:iCs/>
        </w:rPr>
        <w:t>3</w:t>
      </w:r>
      <w:r w:rsidRPr="00AD41AB">
        <w:t xml:space="preserve"> (1), 3260. </w:t>
      </w:r>
    </w:p>
    <w:p w14:paraId="2959A87B" w14:textId="49D8A5B4" w:rsidR="00AD41AB" w:rsidRPr="00AD41AB" w:rsidRDefault="00AD41AB" w:rsidP="00AD41AB">
      <w:pPr>
        <w:pStyle w:val="Bibliography"/>
      </w:pPr>
      <w:r w:rsidRPr="00AD41AB">
        <w:t>(18)</w:t>
      </w:r>
      <w:r w:rsidRPr="00AD41AB">
        <w:tab/>
        <w:t xml:space="preserve">Feng, W.; Li, S.; Li, M.; Qin, C.; Feng, Y. An Energy-Dense and Thermal-Stable Bis-Azobenzene/Hybrid Templated Assembly for Solar Thermal Fuel. </w:t>
      </w:r>
      <w:r w:rsidRPr="00AD41AB">
        <w:rPr>
          <w:i/>
          <w:iCs/>
        </w:rPr>
        <w:t>J. Mater. Chem. A</w:t>
      </w:r>
      <w:r w:rsidRPr="00AD41AB">
        <w:t xml:space="preserve"> </w:t>
      </w:r>
      <w:r w:rsidRPr="00AD41AB">
        <w:rPr>
          <w:b/>
          <w:bCs/>
        </w:rPr>
        <w:t>2016</w:t>
      </w:r>
      <w:r w:rsidRPr="00AD41AB">
        <w:t xml:space="preserve">, </w:t>
      </w:r>
      <w:r w:rsidRPr="00AD41AB">
        <w:rPr>
          <w:i/>
          <w:iCs/>
        </w:rPr>
        <w:t>4</w:t>
      </w:r>
      <w:r w:rsidRPr="00AD41AB">
        <w:t xml:space="preserve"> (21), 8020–8028. </w:t>
      </w:r>
    </w:p>
    <w:p w14:paraId="6FA12EF4" w14:textId="6CA3FC41" w:rsidR="00AD41AB" w:rsidRPr="00AD41AB" w:rsidRDefault="00AD41AB" w:rsidP="00AD41AB">
      <w:pPr>
        <w:pStyle w:val="Bibliography"/>
      </w:pPr>
      <w:r w:rsidRPr="00AD41AB">
        <w:t>(19)</w:t>
      </w:r>
      <w:r w:rsidRPr="00AD41AB">
        <w:tab/>
        <w:t xml:space="preserve">Zhao, X.; Feng, Y.; Qin, C.; Yang, W.; Si, Q.; Feng, W. Controlling Heat Release from a Close-Packed </w:t>
      </w:r>
      <w:proofErr w:type="spellStart"/>
      <w:r w:rsidRPr="00AD41AB">
        <w:t>Bisazobenzene</w:t>
      </w:r>
      <w:proofErr w:type="spellEnd"/>
      <w:r w:rsidRPr="00AD41AB">
        <w:t xml:space="preserve">–Reduced-Graphene-Oxide Assembly Film for High-Energy Solid-State Photothermal Fuels. </w:t>
      </w:r>
      <w:proofErr w:type="spellStart"/>
      <w:r w:rsidRPr="00AD41AB">
        <w:rPr>
          <w:i/>
          <w:iCs/>
        </w:rPr>
        <w:t>ChemSusChem</w:t>
      </w:r>
      <w:proofErr w:type="spellEnd"/>
      <w:r w:rsidRPr="00AD41AB">
        <w:t xml:space="preserve"> </w:t>
      </w:r>
      <w:r w:rsidRPr="00AD41AB">
        <w:rPr>
          <w:b/>
          <w:bCs/>
        </w:rPr>
        <w:t>2017</w:t>
      </w:r>
      <w:r w:rsidRPr="00AD41AB">
        <w:t xml:space="preserve">, </w:t>
      </w:r>
      <w:r w:rsidRPr="00AD41AB">
        <w:rPr>
          <w:i/>
          <w:iCs/>
        </w:rPr>
        <w:t>10</w:t>
      </w:r>
      <w:r w:rsidRPr="00AD41AB">
        <w:t xml:space="preserve"> (7), 1395–1404. </w:t>
      </w:r>
    </w:p>
    <w:p w14:paraId="1593304B" w14:textId="3294BC55" w:rsidR="00AD41AB" w:rsidRPr="00AD41AB" w:rsidRDefault="00AD41AB" w:rsidP="00AD41AB">
      <w:pPr>
        <w:pStyle w:val="Bibliography"/>
      </w:pPr>
      <w:r w:rsidRPr="00AD41AB">
        <w:t>(20)</w:t>
      </w:r>
      <w:r w:rsidRPr="00AD41AB">
        <w:tab/>
        <w:t xml:space="preserve">Yu, F.; Liu, W.; Li, B.; Tian, D.; </w:t>
      </w:r>
      <w:proofErr w:type="spellStart"/>
      <w:r w:rsidRPr="00AD41AB">
        <w:t>Zuo</w:t>
      </w:r>
      <w:proofErr w:type="spellEnd"/>
      <w:r w:rsidRPr="00AD41AB">
        <w:t xml:space="preserve">, J.-L.; Zhang, Q. </w:t>
      </w:r>
      <w:proofErr w:type="spellStart"/>
      <w:r w:rsidRPr="00AD41AB">
        <w:t>Photostimulus</w:t>
      </w:r>
      <w:proofErr w:type="spellEnd"/>
      <w:r w:rsidRPr="00AD41AB">
        <w:t xml:space="preserve">-Responsive Large-Area Two-Dimensional Covalent Organic Framework Films. </w:t>
      </w:r>
      <w:proofErr w:type="spellStart"/>
      <w:r w:rsidRPr="00AD41AB">
        <w:rPr>
          <w:i/>
          <w:iCs/>
        </w:rPr>
        <w:t>Angew</w:t>
      </w:r>
      <w:proofErr w:type="spellEnd"/>
      <w:r w:rsidRPr="00AD41AB">
        <w:rPr>
          <w:i/>
          <w:iCs/>
        </w:rPr>
        <w:t>. Chem. Int. Ed.</w:t>
      </w:r>
      <w:r w:rsidRPr="00AD41AB">
        <w:t xml:space="preserve"> </w:t>
      </w:r>
      <w:r w:rsidRPr="00AD41AB">
        <w:rPr>
          <w:b/>
          <w:bCs/>
        </w:rPr>
        <w:t>2019</w:t>
      </w:r>
      <w:r w:rsidRPr="00AD41AB">
        <w:t xml:space="preserve">, </w:t>
      </w:r>
      <w:r w:rsidRPr="00AD41AB">
        <w:rPr>
          <w:i/>
          <w:iCs/>
        </w:rPr>
        <w:t>58</w:t>
      </w:r>
      <w:r w:rsidRPr="00AD41AB">
        <w:t xml:space="preserve"> (45), 16101–16104. </w:t>
      </w:r>
    </w:p>
    <w:p w14:paraId="4AB06538" w14:textId="0F09CF77" w:rsidR="00AD41AB" w:rsidRPr="00AD41AB" w:rsidRDefault="00AD41AB" w:rsidP="00AD41AB">
      <w:pPr>
        <w:pStyle w:val="Bibliography"/>
      </w:pPr>
      <w:r w:rsidRPr="00AD41AB">
        <w:t>(21)</w:t>
      </w:r>
      <w:r w:rsidRPr="00AD41AB">
        <w:tab/>
      </w:r>
      <w:proofErr w:type="spellStart"/>
      <w:r w:rsidRPr="00AD41AB">
        <w:t>Masutani</w:t>
      </w:r>
      <w:proofErr w:type="spellEnd"/>
      <w:r w:rsidRPr="00AD41AB">
        <w:t xml:space="preserve">, K.; Morikawa, M.; </w:t>
      </w:r>
      <w:proofErr w:type="spellStart"/>
      <w:r w:rsidRPr="00AD41AB">
        <w:t>Kimizuka</w:t>
      </w:r>
      <w:proofErr w:type="spellEnd"/>
      <w:r w:rsidRPr="00AD41AB">
        <w:t xml:space="preserve">, N. A Liquid Azobenzene Derivative as a Solvent-Free Solar Thermal Fuel. </w:t>
      </w:r>
      <w:r w:rsidRPr="00AD41AB">
        <w:rPr>
          <w:i/>
          <w:iCs/>
        </w:rPr>
        <w:t xml:space="preserve">Chem. </w:t>
      </w:r>
      <w:proofErr w:type="spellStart"/>
      <w:r w:rsidRPr="00AD41AB">
        <w:rPr>
          <w:i/>
          <w:iCs/>
        </w:rPr>
        <w:t>Commun</w:t>
      </w:r>
      <w:proofErr w:type="spellEnd"/>
      <w:r w:rsidRPr="00AD41AB">
        <w:rPr>
          <w:i/>
          <w:iCs/>
        </w:rPr>
        <w:t>.</w:t>
      </w:r>
      <w:r w:rsidRPr="00AD41AB">
        <w:t xml:space="preserve"> </w:t>
      </w:r>
      <w:r w:rsidRPr="00AD41AB">
        <w:rPr>
          <w:b/>
          <w:bCs/>
        </w:rPr>
        <w:t>2014</w:t>
      </w:r>
      <w:r w:rsidRPr="00AD41AB">
        <w:t xml:space="preserve">, </w:t>
      </w:r>
      <w:r w:rsidRPr="00AD41AB">
        <w:rPr>
          <w:i/>
          <w:iCs/>
        </w:rPr>
        <w:t>50</w:t>
      </w:r>
      <w:r w:rsidRPr="00AD41AB">
        <w:t xml:space="preserve"> (99), 15803–15806. </w:t>
      </w:r>
    </w:p>
    <w:p w14:paraId="6C27E31E" w14:textId="0668BFC2" w:rsidR="00AD41AB" w:rsidRPr="00AD41AB" w:rsidRDefault="00AD41AB" w:rsidP="00AD41AB">
      <w:pPr>
        <w:pStyle w:val="Bibliography"/>
      </w:pPr>
      <w:r w:rsidRPr="00AD41AB">
        <w:t>(22)</w:t>
      </w:r>
      <w:r w:rsidRPr="00AD41AB">
        <w:tab/>
        <w:t xml:space="preserve">Wang, D.; Wang, X. Amphiphilic Azo Polymers: Molecular Engineering, Self-Assembly and </w:t>
      </w:r>
      <w:proofErr w:type="spellStart"/>
      <w:r w:rsidRPr="00AD41AB">
        <w:t>Photoresponsive</w:t>
      </w:r>
      <w:proofErr w:type="spellEnd"/>
      <w:r w:rsidRPr="00AD41AB">
        <w:t xml:space="preserve"> Properties. </w:t>
      </w:r>
      <w:r w:rsidRPr="00AD41AB">
        <w:rPr>
          <w:i/>
          <w:iCs/>
        </w:rPr>
        <w:t xml:space="preserve">Top. Issue </w:t>
      </w:r>
      <w:proofErr w:type="spellStart"/>
      <w:r w:rsidRPr="00AD41AB">
        <w:rPr>
          <w:i/>
          <w:iCs/>
        </w:rPr>
        <w:t>Polym</w:t>
      </w:r>
      <w:proofErr w:type="spellEnd"/>
      <w:r w:rsidRPr="00AD41AB">
        <w:rPr>
          <w:i/>
          <w:iCs/>
        </w:rPr>
        <w:t>. Self-</w:t>
      </w:r>
      <w:proofErr w:type="spellStart"/>
      <w:r w:rsidRPr="00AD41AB">
        <w:rPr>
          <w:i/>
          <w:iCs/>
        </w:rPr>
        <w:t>Assem</w:t>
      </w:r>
      <w:proofErr w:type="spellEnd"/>
      <w:r w:rsidRPr="00AD41AB">
        <w:rPr>
          <w:i/>
          <w:iCs/>
        </w:rPr>
        <w:t>.</w:t>
      </w:r>
      <w:r w:rsidRPr="00AD41AB">
        <w:t xml:space="preserve"> </w:t>
      </w:r>
      <w:r w:rsidRPr="00AD41AB">
        <w:rPr>
          <w:b/>
          <w:bCs/>
        </w:rPr>
        <w:t>2013</w:t>
      </w:r>
      <w:r w:rsidRPr="00AD41AB">
        <w:t xml:space="preserve">, </w:t>
      </w:r>
      <w:r w:rsidRPr="00AD41AB">
        <w:rPr>
          <w:i/>
          <w:iCs/>
        </w:rPr>
        <w:t>38</w:t>
      </w:r>
      <w:r w:rsidRPr="00AD41AB">
        <w:t xml:space="preserve"> (2), 271–301. </w:t>
      </w:r>
    </w:p>
    <w:p w14:paraId="5140E491" w14:textId="0889E516" w:rsidR="00AD41AB" w:rsidRPr="00AD41AB" w:rsidRDefault="00AD41AB" w:rsidP="00AD41AB">
      <w:pPr>
        <w:pStyle w:val="Bibliography"/>
      </w:pPr>
      <w:r w:rsidRPr="00AD41AB">
        <w:t>(23)</w:t>
      </w:r>
      <w:r w:rsidRPr="00AD41AB">
        <w:tab/>
        <w:t xml:space="preserve">Zhou, H.; </w:t>
      </w:r>
      <w:proofErr w:type="spellStart"/>
      <w:r w:rsidRPr="00AD41AB">
        <w:t>Xue</w:t>
      </w:r>
      <w:proofErr w:type="spellEnd"/>
      <w:r w:rsidRPr="00AD41AB">
        <w:t xml:space="preserve">, C.; Weis, P.; Suzuki, Y.; Huang, S.; </w:t>
      </w:r>
      <w:proofErr w:type="spellStart"/>
      <w:r w:rsidRPr="00AD41AB">
        <w:t>Koynov</w:t>
      </w:r>
      <w:proofErr w:type="spellEnd"/>
      <w:r w:rsidRPr="00AD41AB">
        <w:t xml:space="preserve">, K.; </w:t>
      </w:r>
      <w:proofErr w:type="spellStart"/>
      <w:r w:rsidRPr="00AD41AB">
        <w:t>Auernhammer</w:t>
      </w:r>
      <w:proofErr w:type="spellEnd"/>
      <w:r w:rsidRPr="00AD41AB">
        <w:t xml:space="preserve">, G. K.; Berger, R.; Butt, H.-J.; Wu, S. </w:t>
      </w:r>
      <w:proofErr w:type="spellStart"/>
      <w:r w:rsidRPr="00AD41AB">
        <w:t>Photoswitching</w:t>
      </w:r>
      <w:proofErr w:type="spellEnd"/>
      <w:r w:rsidRPr="00AD41AB">
        <w:t xml:space="preserve"> of Glass Transition Temperatures of Azobenzene-Containing Polymers Induces Reversible Solid-to-Liquid Transitions. </w:t>
      </w:r>
      <w:r w:rsidRPr="00AD41AB">
        <w:rPr>
          <w:i/>
          <w:iCs/>
        </w:rPr>
        <w:t>Nat. Chem.</w:t>
      </w:r>
      <w:r w:rsidRPr="00AD41AB">
        <w:t xml:space="preserve"> </w:t>
      </w:r>
      <w:r w:rsidRPr="00AD41AB">
        <w:rPr>
          <w:b/>
          <w:bCs/>
        </w:rPr>
        <w:t>2017</w:t>
      </w:r>
      <w:r w:rsidRPr="00AD41AB">
        <w:t xml:space="preserve">, </w:t>
      </w:r>
      <w:r w:rsidRPr="00AD41AB">
        <w:rPr>
          <w:i/>
          <w:iCs/>
        </w:rPr>
        <w:t>9</w:t>
      </w:r>
      <w:r w:rsidRPr="00AD41AB">
        <w:t xml:space="preserve"> (2), 145–151.</w:t>
      </w:r>
    </w:p>
    <w:p w14:paraId="418D7374" w14:textId="2D263929" w:rsidR="00AD41AB" w:rsidRPr="00AD41AB" w:rsidRDefault="00AD41AB" w:rsidP="00AD41AB">
      <w:pPr>
        <w:pStyle w:val="Bibliography"/>
      </w:pPr>
      <w:r w:rsidRPr="00AD41AB">
        <w:t>(24)</w:t>
      </w:r>
      <w:r w:rsidRPr="00AD41AB">
        <w:tab/>
        <w:t xml:space="preserve">Sun, S.; Liang, S.; Xu, W.-C.; Xu, G.; Wu, S. </w:t>
      </w:r>
      <w:proofErr w:type="spellStart"/>
      <w:r w:rsidRPr="00AD41AB">
        <w:t>Photoresponsive</w:t>
      </w:r>
      <w:proofErr w:type="spellEnd"/>
      <w:r w:rsidRPr="00AD41AB">
        <w:t xml:space="preserve"> Polymers with Multi-Azobenzene Groups. </w:t>
      </w:r>
      <w:proofErr w:type="spellStart"/>
      <w:r w:rsidRPr="00AD41AB">
        <w:rPr>
          <w:i/>
          <w:iCs/>
        </w:rPr>
        <w:t>Polym</w:t>
      </w:r>
      <w:proofErr w:type="spellEnd"/>
      <w:r w:rsidRPr="00AD41AB">
        <w:rPr>
          <w:i/>
          <w:iCs/>
        </w:rPr>
        <w:t>. Chem.</w:t>
      </w:r>
      <w:r w:rsidRPr="00AD41AB">
        <w:t xml:space="preserve"> </w:t>
      </w:r>
      <w:r w:rsidRPr="00AD41AB">
        <w:rPr>
          <w:b/>
          <w:bCs/>
        </w:rPr>
        <w:t>2019</w:t>
      </w:r>
      <w:r w:rsidRPr="00AD41AB">
        <w:t xml:space="preserve">, </w:t>
      </w:r>
      <w:r w:rsidRPr="00AD41AB">
        <w:rPr>
          <w:i/>
          <w:iCs/>
        </w:rPr>
        <w:t>10</w:t>
      </w:r>
      <w:r w:rsidRPr="00AD41AB">
        <w:t xml:space="preserve"> (32), 4389–4401. </w:t>
      </w:r>
    </w:p>
    <w:p w14:paraId="6A930EBE" w14:textId="2E6BAE44" w:rsidR="00AD41AB" w:rsidRPr="00AD41AB" w:rsidRDefault="00AD41AB" w:rsidP="00AD41AB">
      <w:pPr>
        <w:pStyle w:val="Bibliography"/>
      </w:pPr>
      <w:r w:rsidRPr="00AD41AB">
        <w:t>(25)</w:t>
      </w:r>
      <w:r w:rsidRPr="00AD41AB">
        <w:tab/>
        <w:t xml:space="preserve">Wu, S.; Butt, H.-J. Solar-Thermal Energy Conversion and Storage Using </w:t>
      </w:r>
      <w:proofErr w:type="spellStart"/>
      <w:r w:rsidRPr="00AD41AB">
        <w:t>Photoresponsive</w:t>
      </w:r>
      <w:proofErr w:type="spellEnd"/>
      <w:r w:rsidRPr="00AD41AB">
        <w:t xml:space="preserve"> Azobenzene-Containing Polymers. </w:t>
      </w:r>
      <w:proofErr w:type="spellStart"/>
      <w:r w:rsidRPr="00AD41AB">
        <w:rPr>
          <w:i/>
          <w:iCs/>
        </w:rPr>
        <w:t>Macromol</w:t>
      </w:r>
      <w:proofErr w:type="spellEnd"/>
      <w:r w:rsidRPr="00AD41AB">
        <w:rPr>
          <w:i/>
          <w:iCs/>
        </w:rPr>
        <w:t xml:space="preserve">. Rapid </w:t>
      </w:r>
      <w:proofErr w:type="spellStart"/>
      <w:r w:rsidRPr="00AD41AB">
        <w:rPr>
          <w:i/>
          <w:iCs/>
        </w:rPr>
        <w:t>Commun</w:t>
      </w:r>
      <w:proofErr w:type="spellEnd"/>
      <w:r w:rsidRPr="00AD41AB">
        <w:rPr>
          <w:i/>
          <w:iCs/>
        </w:rPr>
        <w:t>.</w:t>
      </w:r>
      <w:r w:rsidRPr="00AD41AB">
        <w:t xml:space="preserve"> </w:t>
      </w:r>
      <w:r w:rsidRPr="00AD41AB">
        <w:rPr>
          <w:b/>
          <w:bCs/>
        </w:rPr>
        <w:t>2020</w:t>
      </w:r>
      <w:r w:rsidRPr="00AD41AB">
        <w:t xml:space="preserve">, </w:t>
      </w:r>
      <w:r w:rsidRPr="00AD41AB">
        <w:rPr>
          <w:i/>
          <w:iCs/>
        </w:rPr>
        <w:t>41</w:t>
      </w:r>
      <w:r w:rsidRPr="00AD41AB">
        <w:t xml:space="preserve"> (1), 1900413. </w:t>
      </w:r>
    </w:p>
    <w:p w14:paraId="26A9748E" w14:textId="74092E68" w:rsidR="00AD41AB" w:rsidRPr="00AD41AB" w:rsidRDefault="00AD41AB" w:rsidP="00AD41AB">
      <w:pPr>
        <w:pStyle w:val="Bibliography"/>
      </w:pPr>
      <w:r w:rsidRPr="00AD41AB">
        <w:t>(26)</w:t>
      </w:r>
      <w:r w:rsidRPr="00AD41AB">
        <w:tab/>
      </w:r>
      <w:proofErr w:type="spellStart"/>
      <w:r w:rsidRPr="00AD41AB">
        <w:t>Zhitomirsky</w:t>
      </w:r>
      <w:proofErr w:type="spellEnd"/>
      <w:r w:rsidRPr="00AD41AB">
        <w:t xml:space="preserve">, D.; Cho, E.; Grossman, J. C. Solid-State Solar Thermal Fuels for Heat Release Applications. </w:t>
      </w:r>
      <w:r w:rsidRPr="00AD41AB">
        <w:rPr>
          <w:i/>
          <w:iCs/>
        </w:rPr>
        <w:t>Adv. Energy Mater.</w:t>
      </w:r>
      <w:r w:rsidRPr="00AD41AB">
        <w:t xml:space="preserve"> </w:t>
      </w:r>
      <w:r w:rsidRPr="00AD41AB">
        <w:rPr>
          <w:b/>
          <w:bCs/>
        </w:rPr>
        <w:t>2016</w:t>
      </w:r>
      <w:r w:rsidRPr="00AD41AB">
        <w:t xml:space="preserve">, </w:t>
      </w:r>
      <w:r w:rsidRPr="00AD41AB">
        <w:rPr>
          <w:i/>
          <w:iCs/>
        </w:rPr>
        <w:t>6</w:t>
      </w:r>
      <w:r w:rsidRPr="00AD41AB">
        <w:t xml:space="preserve"> (6), 1502006. </w:t>
      </w:r>
    </w:p>
    <w:p w14:paraId="4DE923C8" w14:textId="1F464578" w:rsidR="00AD41AB" w:rsidRPr="00AD41AB" w:rsidRDefault="00AD41AB" w:rsidP="00AD41AB">
      <w:pPr>
        <w:pStyle w:val="Bibliography"/>
      </w:pPr>
      <w:r w:rsidRPr="00AD41AB">
        <w:t>(27)</w:t>
      </w:r>
      <w:r w:rsidRPr="00AD41AB">
        <w:tab/>
        <w:t xml:space="preserve">Bandara, H. M. D.; Burdette, S. C. Photoisomerization in Different Classes of Azobenzene. </w:t>
      </w:r>
      <w:r w:rsidRPr="00AD41AB">
        <w:rPr>
          <w:i/>
          <w:iCs/>
        </w:rPr>
        <w:t>Chem. Soc. Rev.</w:t>
      </w:r>
      <w:r w:rsidRPr="00AD41AB">
        <w:t xml:space="preserve"> </w:t>
      </w:r>
      <w:r w:rsidRPr="00AD41AB">
        <w:rPr>
          <w:b/>
          <w:bCs/>
        </w:rPr>
        <w:t>2012</w:t>
      </w:r>
      <w:r w:rsidRPr="00AD41AB">
        <w:t xml:space="preserve">, </w:t>
      </w:r>
      <w:r w:rsidRPr="00AD41AB">
        <w:rPr>
          <w:i/>
          <w:iCs/>
        </w:rPr>
        <w:t>41</w:t>
      </w:r>
      <w:r w:rsidRPr="00AD41AB">
        <w:t xml:space="preserve"> (5), 1809–1825. </w:t>
      </w:r>
    </w:p>
    <w:p w14:paraId="040E9257" w14:textId="65E3BF78" w:rsidR="00AD41AB" w:rsidRPr="00AD41AB" w:rsidRDefault="00AD41AB" w:rsidP="00AD41AB">
      <w:pPr>
        <w:pStyle w:val="Bibliography"/>
      </w:pPr>
      <w:r w:rsidRPr="00AD41AB">
        <w:t>(28)</w:t>
      </w:r>
      <w:r w:rsidRPr="00AD41AB">
        <w:tab/>
      </w:r>
      <w:proofErr w:type="spellStart"/>
      <w:r w:rsidRPr="00AD41AB">
        <w:t>Bléger</w:t>
      </w:r>
      <w:proofErr w:type="spellEnd"/>
      <w:r w:rsidRPr="00AD41AB">
        <w:t>, D.; Schwarz, J.; Brouwer, A. M.; Hecht, S. O-</w:t>
      </w:r>
      <w:proofErr w:type="spellStart"/>
      <w:r w:rsidRPr="00AD41AB">
        <w:t>Fluoroazobenzenes</w:t>
      </w:r>
      <w:proofErr w:type="spellEnd"/>
      <w:r w:rsidRPr="00AD41AB">
        <w:t xml:space="preserve"> as Readily Synthesized </w:t>
      </w:r>
      <w:proofErr w:type="spellStart"/>
      <w:r w:rsidRPr="00AD41AB">
        <w:t>Photoswitches</w:t>
      </w:r>
      <w:proofErr w:type="spellEnd"/>
      <w:r w:rsidRPr="00AD41AB">
        <w:t xml:space="preserve"> Offering Nearly Quantitative Two-Way Isomerization with Visible Light. </w:t>
      </w:r>
      <w:r w:rsidRPr="00AD41AB">
        <w:rPr>
          <w:i/>
          <w:iCs/>
        </w:rPr>
        <w:t>J. Am. Chem. Soc.</w:t>
      </w:r>
      <w:r w:rsidRPr="00AD41AB">
        <w:t xml:space="preserve"> </w:t>
      </w:r>
      <w:r w:rsidRPr="00AD41AB">
        <w:rPr>
          <w:b/>
          <w:bCs/>
        </w:rPr>
        <w:t>2012</w:t>
      </w:r>
      <w:r w:rsidRPr="00AD41AB">
        <w:t xml:space="preserve">, </w:t>
      </w:r>
      <w:r w:rsidRPr="00AD41AB">
        <w:rPr>
          <w:i/>
          <w:iCs/>
        </w:rPr>
        <w:t>134</w:t>
      </w:r>
      <w:r w:rsidRPr="00AD41AB">
        <w:t xml:space="preserve"> (51), 20597–20600. </w:t>
      </w:r>
    </w:p>
    <w:p w14:paraId="3E10CF8C" w14:textId="6D35453E" w:rsidR="00AD41AB" w:rsidRPr="00AD41AB" w:rsidRDefault="00AD41AB" w:rsidP="00AD41AB">
      <w:pPr>
        <w:pStyle w:val="Bibliography"/>
      </w:pPr>
      <w:r w:rsidRPr="00AD41AB">
        <w:t>(29)</w:t>
      </w:r>
      <w:r w:rsidRPr="00AD41AB">
        <w:tab/>
        <w:t xml:space="preserve">Beharry, A. A.; </w:t>
      </w:r>
      <w:proofErr w:type="spellStart"/>
      <w:r w:rsidRPr="00AD41AB">
        <w:t>Sadovski</w:t>
      </w:r>
      <w:proofErr w:type="spellEnd"/>
      <w:r w:rsidRPr="00AD41AB">
        <w:t xml:space="preserve">, O.; Woolley, G. A. Azobenzene </w:t>
      </w:r>
      <w:proofErr w:type="spellStart"/>
      <w:r w:rsidRPr="00AD41AB">
        <w:t>Photoswitching</w:t>
      </w:r>
      <w:proofErr w:type="spellEnd"/>
      <w:r w:rsidRPr="00AD41AB">
        <w:t xml:space="preserve"> without Ultraviolet Light. </w:t>
      </w:r>
      <w:r w:rsidRPr="00AD41AB">
        <w:rPr>
          <w:i/>
          <w:iCs/>
        </w:rPr>
        <w:t>J. Am. Chem. Soc.</w:t>
      </w:r>
      <w:r w:rsidRPr="00AD41AB">
        <w:t xml:space="preserve"> </w:t>
      </w:r>
      <w:r w:rsidRPr="00AD41AB">
        <w:rPr>
          <w:b/>
          <w:bCs/>
        </w:rPr>
        <w:t>2011</w:t>
      </w:r>
      <w:r w:rsidRPr="00AD41AB">
        <w:t xml:space="preserve">, </w:t>
      </w:r>
      <w:r w:rsidRPr="00AD41AB">
        <w:rPr>
          <w:i/>
          <w:iCs/>
        </w:rPr>
        <w:t>133</w:t>
      </w:r>
      <w:r w:rsidRPr="00AD41AB">
        <w:t xml:space="preserve"> (49), 19684–19687. </w:t>
      </w:r>
    </w:p>
    <w:p w14:paraId="25F713B0" w14:textId="77C7804F" w:rsidR="00AD41AB" w:rsidRPr="00AD41AB" w:rsidRDefault="00AD41AB" w:rsidP="00AD41AB">
      <w:pPr>
        <w:pStyle w:val="Bibliography"/>
      </w:pPr>
      <w:r w:rsidRPr="00AD41AB">
        <w:t>(30)</w:t>
      </w:r>
      <w:r w:rsidRPr="00AD41AB">
        <w:tab/>
      </w:r>
      <w:proofErr w:type="spellStart"/>
      <w:r w:rsidRPr="00AD41AB">
        <w:t>Samanta</w:t>
      </w:r>
      <w:proofErr w:type="spellEnd"/>
      <w:r w:rsidRPr="00AD41AB">
        <w:t xml:space="preserve">, D.; </w:t>
      </w:r>
      <w:proofErr w:type="spellStart"/>
      <w:r w:rsidRPr="00AD41AB">
        <w:t>Gemen</w:t>
      </w:r>
      <w:proofErr w:type="spellEnd"/>
      <w:r w:rsidRPr="00AD41AB">
        <w:t xml:space="preserve">, J.; Chu, Z.; Diskin-Posner, Y.; Shimon, L. J. W.; </w:t>
      </w:r>
      <w:proofErr w:type="spellStart"/>
      <w:r w:rsidRPr="00AD41AB">
        <w:t>Klajn</w:t>
      </w:r>
      <w:proofErr w:type="spellEnd"/>
      <w:r w:rsidRPr="00AD41AB">
        <w:t xml:space="preserve">, R. Reversible </w:t>
      </w:r>
      <w:proofErr w:type="spellStart"/>
      <w:r w:rsidRPr="00AD41AB">
        <w:t>Photoswitching</w:t>
      </w:r>
      <w:proofErr w:type="spellEnd"/>
      <w:r w:rsidRPr="00AD41AB">
        <w:t xml:space="preserve"> of Encapsulated </w:t>
      </w:r>
      <w:proofErr w:type="spellStart"/>
      <w:r w:rsidRPr="00AD41AB">
        <w:t>Azobenzenes</w:t>
      </w:r>
      <w:proofErr w:type="spellEnd"/>
      <w:r w:rsidRPr="00AD41AB">
        <w:t xml:space="preserve"> in Water. </w:t>
      </w:r>
      <w:r w:rsidRPr="00AD41AB">
        <w:rPr>
          <w:i/>
          <w:iCs/>
        </w:rPr>
        <w:t>Proc. Natl. Acad. Sci.</w:t>
      </w:r>
      <w:r w:rsidRPr="00AD41AB">
        <w:t xml:space="preserve"> </w:t>
      </w:r>
      <w:r w:rsidRPr="00AD41AB">
        <w:rPr>
          <w:b/>
          <w:bCs/>
        </w:rPr>
        <w:t>2018</w:t>
      </w:r>
      <w:r w:rsidRPr="00AD41AB">
        <w:t xml:space="preserve">, </w:t>
      </w:r>
      <w:r w:rsidRPr="00AD41AB">
        <w:rPr>
          <w:i/>
          <w:iCs/>
        </w:rPr>
        <w:t>115</w:t>
      </w:r>
      <w:r w:rsidRPr="00AD41AB">
        <w:t xml:space="preserve"> (38), 9379–9384.</w:t>
      </w:r>
    </w:p>
    <w:p w14:paraId="12BB1B03" w14:textId="771FB90B" w:rsidR="00AD41AB" w:rsidRPr="00AD41AB" w:rsidRDefault="00AD41AB" w:rsidP="00AD41AB">
      <w:pPr>
        <w:pStyle w:val="Bibliography"/>
      </w:pPr>
      <w:r w:rsidRPr="00AD41AB">
        <w:t>(31)</w:t>
      </w:r>
      <w:r w:rsidRPr="00AD41AB">
        <w:tab/>
        <w:t xml:space="preserve">Georgi, U.; Reichenbach, P.; </w:t>
      </w:r>
      <w:proofErr w:type="spellStart"/>
      <w:r w:rsidRPr="00AD41AB">
        <w:t>Oertel</w:t>
      </w:r>
      <w:proofErr w:type="spellEnd"/>
      <w:r w:rsidRPr="00AD41AB">
        <w:t xml:space="preserve">, U.; </w:t>
      </w:r>
      <w:proofErr w:type="spellStart"/>
      <w:r w:rsidRPr="00AD41AB">
        <w:t>Eng</w:t>
      </w:r>
      <w:proofErr w:type="spellEnd"/>
      <w:r w:rsidRPr="00AD41AB">
        <w:t xml:space="preserve">, L. M.; </w:t>
      </w:r>
      <w:proofErr w:type="spellStart"/>
      <w:r w:rsidRPr="00AD41AB">
        <w:t>Voit</w:t>
      </w:r>
      <w:proofErr w:type="spellEnd"/>
      <w:r w:rsidRPr="00AD41AB">
        <w:t xml:space="preserve">, B. Synthesis of Azobenzene-Containing Polymers and Investigation of Their Substituent-Dependent Isomerisation Behaviour. </w:t>
      </w:r>
      <w:r w:rsidRPr="00AD41AB">
        <w:rPr>
          <w:i/>
          <w:iCs/>
        </w:rPr>
        <w:t xml:space="preserve">React. </w:t>
      </w:r>
      <w:proofErr w:type="spellStart"/>
      <w:r w:rsidRPr="00AD41AB">
        <w:rPr>
          <w:i/>
          <w:iCs/>
        </w:rPr>
        <w:t>Funct</w:t>
      </w:r>
      <w:proofErr w:type="spellEnd"/>
      <w:r w:rsidRPr="00AD41AB">
        <w:rPr>
          <w:i/>
          <w:iCs/>
        </w:rPr>
        <w:t xml:space="preserve">. </w:t>
      </w:r>
      <w:proofErr w:type="spellStart"/>
      <w:r w:rsidRPr="00AD41AB">
        <w:rPr>
          <w:i/>
          <w:iCs/>
        </w:rPr>
        <w:t>Polym</w:t>
      </w:r>
      <w:proofErr w:type="spellEnd"/>
      <w:r w:rsidRPr="00AD41AB">
        <w:rPr>
          <w:i/>
          <w:iCs/>
        </w:rPr>
        <w:t>.</w:t>
      </w:r>
      <w:r w:rsidRPr="00AD41AB">
        <w:t xml:space="preserve"> </w:t>
      </w:r>
      <w:r w:rsidRPr="00AD41AB">
        <w:rPr>
          <w:b/>
          <w:bCs/>
        </w:rPr>
        <w:t>2012</w:t>
      </w:r>
      <w:r w:rsidRPr="00AD41AB">
        <w:t xml:space="preserve">, </w:t>
      </w:r>
      <w:r w:rsidRPr="00AD41AB">
        <w:rPr>
          <w:i/>
          <w:iCs/>
        </w:rPr>
        <w:t>72</w:t>
      </w:r>
      <w:r w:rsidRPr="00AD41AB">
        <w:t xml:space="preserve"> (4), 242–251. </w:t>
      </w:r>
    </w:p>
    <w:p w14:paraId="2F07EDED" w14:textId="170ACCBD" w:rsidR="00AD41AB" w:rsidRPr="00AD41AB" w:rsidRDefault="00AD41AB" w:rsidP="00AD41AB">
      <w:pPr>
        <w:pStyle w:val="Bibliography"/>
      </w:pPr>
      <w:r w:rsidRPr="00AD41AB">
        <w:t>(32)</w:t>
      </w:r>
      <w:r w:rsidRPr="00AD41AB">
        <w:tab/>
      </w:r>
      <w:proofErr w:type="spellStart"/>
      <w:r w:rsidRPr="00AD41AB">
        <w:t>Moniruzzaman</w:t>
      </w:r>
      <w:proofErr w:type="spellEnd"/>
      <w:r w:rsidRPr="00AD41AB">
        <w:t xml:space="preserve">, M.; </w:t>
      </w:r>
      <w:proofErr w:type="spellStart"/>
      <w:r w:rsidRPr="00AD41AB">
        <w:t>Sabey</w:t>
      </w:r>
      <w:proofErr w:type="spellEnd"/>
      <w:r w:rsidRPr="00AD41AB">
        <w:t xml:space="preserve">, C. J.; Fernando, G. F. Synthesis of Azobenzene-Based Polymers and the in-Situ Characterization of Their </w:t>
      </w:r>
      <w:proofErr w:type="spellStart"/>
      <w:r w:rsidRPr="00AD41AB">
        <w:t>Photoviscosity</w:t>
      </w:r>
      <w:proofErr w:type="spellEnd"/>
      <w:r w:rsidRPr="00AD41AB">
        <w:t xml:space="preserve"> Effects. </w:t>
      </w:r>
      <w:r w:rsidRPr="00AD41AB">
        <w:rPr>
          <w:i/>
          <w:iCs/>
        </w:rPr>
        <w:t>Macromolecules</w:t>
      </w:r>
      <w:r w:rsidRPr="00AD41AB">
        <w:t xml:space="preserve"> </w:t>
      </w:r>
      <w:r w:rsidRPr="00AD41AB">
        <w:rPr>
          <w:b/>
          <w:bCs/>
        </w:rPr>
        <w:t>2004</w:t>
      </w:r>
      <w:r w:rsidRPr="00AD41AB">
        <w:t xml:space="preserve">, </w:t>
      </w:r>
      <w:r w:rsidRPr="00AD41AB">
        <w:rPr>
          <w:i/>
          <w:iCs/>
        </w:rPr>
        <w:t>37</w:t>
      </w:r>
      <w:r w:rsidRPr="00AD41AB">
        <w:t xml:space="preserve"> (7), 2572–2577. </w:t>
      </w:r>
    </w:p>
    <w:p w14:paraId="5E3F5A8A" w14:textId="145D3E50" w:rsidR="00AD41AB" w:rsidRPr="00AD41AB" w:rsidRDefault="00AD41AB" w:rsidP="00AD41AB">
      <w:pPr>
        <w:pStyle w:val="Bibliography"/>
      </w:pPr>
      <w:r w:rsidRPr="00AD41AB">
        <w:t>(33)</w:t>
      </w:r>
      <w:r w:rsidRPr="00AD41AB">
        <w:tab/>
        <w:t>Chen, S.; Zhang, Y.; Chen, K.; Yin, Y.; Wang, C. Insight into a Fast-</w:t>
      </w:r>
      <w:proofErr w:type="spellStart"/>
      <w:r w:rsidRPr="00AD41AB">
        <w:t>Phototuning</w:t>
      </w:r>
      <w:proofErr w:type="spellEnd"/>
      <w:r w:rsidRPr="00AD41AB">
        <w:t xml:space="preserve"> Azobenzene Switch for Sustainably Tailoring the Foam Stability. </w:t>
      </w:r>
      <w:r w:rsidRPr="00AD41AB">
        <w:rPr>
          <w:i/>
          <w:iCs/>
        </w:rPr>
        <w:t>ACS Appl. Mater. Interfaces</w:t>
      </w:r>
      <w:r w:rsidRPr="00AD41AB">
        <w:t xml:space="preserve"> </w:t>
      </w:r>
      <w:r w:rsidRPr="00AD41AB">
        <w:rPr>
          <w:b/>
          <w:bCs/>
        </w:rPr>
        <w:t>2017</w:t>
      </w:r>
      <w:r w:rsidRPr="00AD41AB">
        <w:t xml:space="preserve">, </w:t>
      </w:r>
      <w:r w:rsidRPr="00AD41AB">
        <w:rPr>
          <w:i/>
          <w:iCs/>
        </w:rPr>
        <w:t>9</w:t>
      </w:r>
      <w:r w:rsidRPr="00AD41AB">
        <w:t xml:space="preserve"> (15), 13778–13784.</w:t>
      </w:r>
    </w:p>
    <w:p w14:paraId="3F8137E0" w14:textId="1D990A87" w:rsidR="00AD41AB" w:rsidRPr="00AD41AB" w:rsidRDefault="00AD41AB" w:rsidP="00AD41AB">
      <w:pPr>
        <w:pStyle w:val="Bibliography"/>
      </w:pPr>
      <w:r w:rsidRPr="00AD41AB">
        <w:t>(34)</w:t>
      </w:r>
      <w:r w:rsidRPr="00AD41AB">
        <w:tab/>
      </w:r>
      <w:proofErr w:type="spellStart"/>
      <w:r w:rsidRPr="00AD41AB">
        <w:t>Forber</w:t>
      </w:r>
      <w:proofErr w:type="spellEnd"/>
      <w:r w:rsidRPr="00AD41AB">
        <w:t xml:space="preserve">, C. L.; </w:t>
      </w:r>
      <w:proofErr w:type="spellStart"/>
      <w:r w:rsidRPr="00AD41AB">
        <w:t>Kelusky</w:t>
      </w:r>
      <w:proofErr w:type="spellEnd"/>
      <w:r w:rsidRPr="00AD41AB">
        <w:t xml:space="preserve">, E. C.; Bunce, N. J.; </w:t>
      </w:r>
      <w:proofErr w:type="spellStart"/>
      <w:r w:rsidRPr="00AD41AB">
        <w:t>Zerner</w:t>
      </w:r>
      <w:proofErr w:type="spellEnd"/>
      <w:r w:rsidRPr="00AD41AB">
        <w:t>, M. C. Electronic Spectra of Cis- and Trans-</w:t>
      </w:r>
      <w:proofErr w:type="spellStart"/>
      <w:r w:rsidRPr="00AD41AB">
        <w:t>Azobenzenes</w:t>
      </w:r>
      <w:proofErr w:type="spellEnd"/>
      <w:r w:rsidRPr="00AD41AB">
        <w:t xml:space="preserve">: Consequences of Ortho Substitution. </w:t>
      </w:r>
      <w:r w:rsidRPr="00AD41AB">
        <w:rPr>
          <w:i/>
          <w:iCs/>
        </w:rPr>
        <w:t>J. Am. Chem. Soc.</w:t>
      </w:r>
      <w:r w:rsidRPr="00AD41AB">
        <w:t xml:space="preserve"> </w:t>
      </w:r>
      <w:r w:rsidRPr="00AD41AB">
        <w:rPr>
          <w:b/>
          <w:bCs/>
        </w:rPr>
        <w:t>1985</w:t>
      </w:r>
      <w:r w:rsidRPr="00AD41AB">
        <w:t xml:space="preserve">, </w:t>
      </w:r>
      <w:r w:rsidRPr="00AD41AB">
        <w:rPr>
          <w:i/>
          <w:iCs/>
        </w:rPr>
        <w:t>107</w:t>
      </w:r>
      <w:r w:rsidRPr="00AD41AB">
        <w:t xml:space="preserve"> (21), 5884–5890.</w:t>
      </w:r>
    </w:p>
    <w:p w14:paraId="5B495AC0" w14:textId="13359504" w:rsidR="00AD41AB" w:rsidRPr="00AD41AB" w:rsidRDefault="00AD41AB" w:rsidP="00AD41AB">
      <w:pPr>
        <w:pStyle w:val="Bibliography"/>
      </w:pPr>
      <w:r w:rsidRPr="00AD41AB">
        <w:t>(35)</w:t>
      </w:r>
      <w:r w:rsidRPr="00AD41AB">
        <w:tab/>
      </w:r>
      <w:proofErr w:type="spellStart"/>
      <w:r w:rsidRPr="00AD41AB">
        <w:t>Vetráková</w:t>
      </w:r>
      <w:proofErr w:type="spellEnd"/>
      <w:r w:rsidRPr="00AD41AB">
        <w:t xml:space="preserve">, Ľ.; </w:t>
      </w:r>
      <w:proofErr w:type="spellStart"/>
      <w:r w:rsidRPr="00AD41AB">
        <w:t>Ladányi</w:t>
      </w:r>
      <w:proofErr w:type="spellEnd"/>
      <w:r w:rsidRPr="00AD41AB">
        <w:t xml:space="preserve">, V.; Al </w:t>
      </w:r>
      <w:proofErr w:type="spellStart"/>
      <w:r w:rsidRPr="00AD41AB">
        <w:t>Anshori</w:t>
      </w:r>
      <w:proofErr w:type="spellEnd"/>
      <w:r w:rsidRPr="00AD41AB">
        <w:t xml:space="preserve">, J.; </w:t>
      </w:r>
      <w:proofErr w:type="spellStart"/>
      <w:r w:rsidRPr="00AD41AB">
        <w:t>Dvořák</w:t>
      </w:r>
      <w:proofErr w:type="spellEnd"/>
      <w:r w:rsidRPr="00AD41AB">
        <w:t xml:space="preserve">, P.; Wirz, J.; </w:t>
      </w:r>
      <w:proofErr w:type="spellStart"/>
      <w:r w:rsidRPr="00AD41AB">
        <w:t>Heger</w:t>
      </w:r>
      <w:proofErr w:type="spellEnd"/>
      <w:r w:rsidRPr="00AD41AB">
        <w:t xml:space="preserve">, D. The Absorption Spectrum of Cis-Azobenzene. </w:t>
      </w:r>
      <w:proofErr w:type="spellStart"/>
      <w:r w:rsidRPr="00AD41AB">
        <w:rPr>
          <w:i/>
          <w:iCs/>
        </w:rPr>
        <w:t>Photochem</w:t>
      </w:r>
      <w:proofErr w:type="spellEnd"/>
      <w:r w:rsidRPr="00AD41AB">
        <w:rPr>
          <w:i/>
          <w:iCs/>
        </w:rPr>
        <w:t xml:space="preserve">. </w:t>
      </w:r>
      <w:proofErr w:type="spellStart"/>
      <w:r w:rsidRPr="00AD41AB">
        <w:rPr>
          <w:i/>
          <w:iCs/>
        </w:rPr>
        <w:t>Photobiol</w:t>
      </w:r>
      <w:proofErr w:type="spellEnd"/>
      <w:r w:rsidRPr="00AD41AB">
        <w:rPr>
          <w:i/>
          <w:iCs/>
        </w:rPr>
        <w:t>. Sci.</w:t>
      </w:r>
      <w:r w:rsidRPr="00AD41AB">
        <w:t xml:space="preserve"> </w:t>
      </w:r>
      <w:r w:rsidRPr="00AD41AB">
        <w:rPr>
          <w:b/>
          <w:bCs/>
        </w:rPr>
        <w:t>2017</w:t>
      </w:r>
      <w:r w:rsidRPr="00AD41AB">
        <w:t xml:space="preserve">, </w:t>
      </w:r>
      <w:r w:rsidRPr="00AD41AB">
        <w:rPr>
          <w:i/>
          <w:iCs/>
        </w:rPr>
        <w:t>16</w:t>
      </w:r>
      <w:r w:rsidRPr="00AD41AB">
        <w:t xml:space="preserve"> (12), 1749–1756. </w:t>
      </w:r>
    </w:p>
    <w:p w14:paraId="282B5171" w14:textId="09A2883B" w:rsidR="00AD41AB" w:rsidRPr="00AD41AB" w:rsidRDefault="00AD41AB" w:rsidP="00AD41AB">
      <w:pPr>
        <w:pStyle w:val="Bibliography"/>
      </w:pPr>
      <w:r w:rsidRPr="00AD41AB">
        <w:lastRenderedPageBreak/>
        <w:t>(36)</w:t>
      </w:r>
      <w:r w:rsidRPr="00AD41AB">
        <w:tab/>
        <w:t xml:space="preserve">Weston, C. E.; Richardson, R. D.; Haycock, P. R.; White, A. J. P.; </w:t>
      </w:r>
      <w:proofErr w:type="spellStart"/>
      <w:r w:rsidRPr="00AD41AB">
        <w:t>Fuchter</w:t>
      </w:r>
      <w:proofErr w:type="spellEnd"/>
      <w:r w:rsidRPr="00AD41AB">
        <w:t xml:space="preserve">, M. J. </w:t>
      </w:r>
      <w:proofErr w:type="spellStart"/>
      <w:r w:rsidRPr="00AD41AB">
        <w:t>Arylazopyrazoles</w:t>
      </w:r>
      <w:proofErr w:type="spellEnd"/>
      <w:r w:rsidRPr="00AD41AB">
        <w:t xml:space="preserve">: </w:t>
      </w:r>
      <w:proofErr w:type="spellStart"/>
      <w:r w:rsidRPr="00AD41AB">
        <w:t>Azoheteroarene</w:t>
      </w:r>
      <w:proofErr w:type="spellEnd"/>
      <w:r w:rsidRPr="00AD41AB">
        <w:t xml:space="preserve"> </w:t>
      </w:r>
      <w:proofErr w:type="spellStart"/>
      <w:r w:rsidRPr="00AD41AB">
        <w:t>Photoswitches</w:t>
      </w:r>
      <w:proofErr w:type="spellEnd"/>
      <w:r w:rsidRPr="00AD41AB">
        <w:t xml:space="preserve"> Offering Quantitative Isomerization and Long Thermal Half-Lives. </w:t>
      </w:r>
      <w:r w:rsidRPr="00AD41AB">
        <w:rPr>
          <w:i/>
          <w:iCs/>
        </w:rPr>
        <w:t>J. Am. Chem. Soc.</w:t>
      </w:r>
      <w:r w:rsidRPr="00AD41AB">
        <w:t xml:space="preserve"> </w:t>
      </w:r>
      <w:r w:rsidRPr="00AD41AB">
        <w:rPr>
          <w:b/>
          <w:bCs/>
        </w:rPr>
        <w:t>2014</w:t>
      </w:r>
      <w:r w:rsidRPr="00AD41AB">
        <w:t xml:space="preserve">, </w:t>
      </w:r>
      <w:r w:rsidRPr="00AD41AB">
        <w:rPr>
          <w:i/>
          <w:iCs/>
        </w:rPr>
        <w:t>136</w:t>
      </w:r>
      <w:r w:rsidRPr="00AD41AB">
        <w:t xml:space="preserve"> (34), 11878–11881. </w:t>
      </w:r>
    </w:p>
    <w:p w14:paraId="20E01FCA" w14:textId="3B5107BD" w:rsidR="00AD41AB" w:rsidRPr="00AD41AB" w:rsidRDefault="00AD41AB" w:rsidP="00AD41AB">
      <w:pPr>
        <w:pStyle w:val="Bibliography"/>
      </w:pPr>
      <w:r w:rsidRPr="00AD41AB">
        <w:t>(37)</w:t>
      </w:r>
      <w:r w:rsidRPr="00AD41AB">
        <w:tab/>
      </w:r>
      <w:proofErr w:type="spellStart"/>
      <w:r w:rsidRPr="00AD41AB">
        <w:t>Corruccini</w:t>
      </w:r>
      <w:proofErr w:type="spellEnd"/>
      <w:r w:rsidRPr="00AD41AB">
        <w:t xml:space="preserve">, R. J.; Gilbert, E. C. The Heat of Combustion of Cis- and Trans-Azobenzene. </w:t>
      </w:r>
      <w:r w:rsidRPr="00AD41AB">
        <w:rPr>
          <w:i/>
          <w:iCs/>
        </w:rPr>
        <w:t>J. Am. Chem. Soc.</w:t>
      </w:r>
      <w:r w:rsidRPr="00AD41AB">
        <w:t xml:space="preserve"> </w:t>
      </w:r>
      <w:r w:rsidRPr="00AD41AB">
        <w:rPr>
          <w:b/>
          <w:bCs/>
        </w:rPr>
        <w:t>1939</w:t>
      </w:r>
      <w:r w:rsidRPr="00AD41AB">
        <w:t xml:space="preserve">, </w:t>
      </w:r>
      <w:r w:rsidRPr="00AD41AB">
        <w:rPr>
          <w:i/>
          <w:iCs/>
        </w:rPr>
        <w:t>61</w:t>
      </w:r>
      <w:r w:rsidRPr="00AD41AB">
        <w:t xml:space="preserve"> (10), 2925–2927. </w:t>
      </w:r>
    </w:p>
    <w:p w14:paraId="513043A6" w14:textId="2EA2C25D" w:rsidR="00AD41AB" w:rsidRPr="00AD41AB" w:rsidRDefault="00AD41AB" w:rsidP="00AD41AB">
      <w:pPr>
        <w:pStyle w:val="Bibliography"/>
      </w:pPr>
      <w:r w:rsidRPr="00AD41AB">
        <w:t>(38)</w:t>
      </w:r>
      <w:r w:rsidRPr="00AD41AB">
        <w:tab/>
        <w:t xml:space="preserve">Dias, A. R.; Minas Da Piedade, M. E.; </w:t>
      </w:r>
      <w:proofErr w:type="spellStart"/>
      <w:r w:rsidRPr="00AD41AB">
        <w:t>Martinho</w:t>
      </w:r>
      <w:proofErr w:type="spellEnd"/>
      <w:r w:rsidRPr="00AD41AB">
        <w:t xml:space="preserve"> </w:t>
      </w:r>
      <w:proofErr w:type="spellStart"/>
      <w:r w:rsidRPr="00AD41AB">
        <w:t>Simões</w:t>
      </w:r>
      <w:proofErr w:type="spellEnd"/>
      <w:r w:rsidRPr="00AD41AB">
        <w:t xml:space="preserve">, J. A.; Simoni, J. A.; Teixeira, C.; </w:t>
      </w:r>
      <w:proofErr w:type="spellStart"/>
      <w:r w:rsidRPr="00AD41AB">
        <w:t>Diogo</w:t>
      </w:r>
      <w:proofErr w:type="spellEnd"/>
      <w:r w:rsidRPr="00AD41AB">
        <w:t xml:space="preserve">, H. P.; Meng-Yan, Y.; Pilcher, G. Enthalpies of Formation of Cis-Azobenzene and Trans-Azobenzene. </w:t>
      </w:r>
      <w:r w:rsidRPr="00AD41AB">
        <w:rPr>
          <w:i/>
          <w:iCs/>
        </w:rPr>
        <w:t xml:space="preserve">J. Chem. </w:t>
      </w:r>
      <w:proofErr w:type="spellStart"/>
      <w:r w:rsidRPr="00AD41AB">
        <w:rPr>
          <w:i/>
          <w:iCs/>
        </w:rPr>
        <w:t>Thermodyn</w:t>
      </w:r>
      <w:proofErr w:type="spellEnd"/>
      <w:r w:rsidRPr="00AD41AB">
        <w:rPr>
          <w:i/>
          <w:iCs/>
        </w:rPr>
        <w:t>.</w:t>
      </w:r>
      <w:r w:rsidRPr="00AD41AB">
        <w:t xml:space="preserve"> </w:t>
      </w:r>
      <w:r w:rsidRPr="00AD41AB">
        <w:rPr>
          <w:b/>
          <w:bCs/>
        </w:rPr>
        <w:t>1992</w:t>
      </w:r>
      <w:r w:rsidRPr="00AD41AB">
        <w:t xml:space="preserve">, </w:t>
      </w:r>
      <w:r w:rsidRPr="00AD41AB">
        <w:rPr>
          <w:i/>
          <w:iCs/>
        </w:rPr>
        <w:t>24</w:t>
      </w:r>
      <w:r w:rsidRPr="00AD41AB">
        <w:t xml:space="preserve"> (4), 439–447. </w:t>
      </w:r>
    </w:p>
    <w:p w14:paraId="43A02B25" w14:textId="3507486C" w:rsidR="00AD41AB" w:rsidRPr="00AD41AB" w:rsidRDefault="00AD41AB" w:rsidP="00AD41AB">
      <w:pPr>
        <w:pStyle w:val="Bibliography"/>
      </w:pPr>
      <w:r w:rsidRPr="00AD41AB">
        <w:t>(39)</w:t>
      </w:r>
      <w:r w:rsidRPr="00AD41AB">
        <w:tab/>
      </w:r>
      <w:proofErr w:type="spellStart"/>
      <w:r w:rsidRPr="00AD41AB">
        <w:t>Cammenga</w:t>
      </w:r>
      <w:proofErr w:type="spellEnd"/>
      <w:r w:rsidRPr="00AD41AB">
        <w:t xml:space="preserve">, H. K.; </w:t>
      </w:r>
      <w:proofErr w:type="spellStart"/>
      <w:r w:rsidRPr="00AD41AB">
        <w:t>Emel’yanenko</w:t>
      </w:r>
      <w:proofErr w:type="spellEnd"/>
      <w:r w:rsidRPr="00AD41AB">
        <w:t xml:space="preserve">, V. N.; </w:t>
      </w:r>
      <w:proofErr w:type="spellStart"/>
      <w:r w:rsidRPr="00AD41AB">
        <w:t>Verevkin</w:t>
      </w:r>
      <w:proofErr w:type="spellEnd"/>
      <w:r w:rsidRPr="00AD41AB">
        <w:t xml:space="preserve">, S. P. Re-Investigation and Data Assessment of the Isomerization and 2,2′-Cyclization of Stilbenes and </w:t>
      </w:r>
      <w:proofErr w:type="spellStart"/>
      <w:r w:rsidRPr="00AD41AB">
        <w:t>Azobenzenes</w:t>
      </w:r>
      <w:proofErr w:type="spellEnd"/>
      <w:r w:rsidRPr="00AD41AB">
        <w:t xml:space="preserve">. </w:t>
      </w:r>
      <w:r w:rsidRPr="00AD41AB">
        <w:rPr>
          <w:i/>
          <w:iCs/>
        </w:rPr>
        <w:t>Ind. Eng. Chem. Res.</w:t>
      </w:r>
      <w:r w:rsidRPr="00AD41AB">
        <w:t xml:space="preserve"> </w:t>
      </w:r>
      <w:r w:rsidRPr="00AD41AB">
        <w:rPr>
          <w:b/>
          <w:bCs/>
        </w:rPr>
        <w:t>2009</w:t>
      </w:r>
      <w:r w:rsidRPr="00AD41AB">
        <w:t xml:space="preserve">, </w:t>
      </w:r>
      <w:r w:rsidRPr="00AD41AB">
        <w:rPr>
          <w:i/>
          <w:iCs/>
        </w:rPr>
        <w:t>48</w:t>
      </w:r>
      <w:r w:rsidRPr="00AD41AB">
        <w:t xml:space="preserve"> (22), 10120–10128. </w:t>
      </w:r>
    </w:p>
    <w:p w14:paraId="0881C5BC" w14:textId="1836DBFD" w:rsidR="008109DC" w:rsidRDefault="00D05EDA">
      <w:pPr>
        <w:spacing w:after="160" w:line="480" w:lineRule="auto"/>
        <w:jc w:val="both"/>
      </w:pPr>
      <w:r>
        <w:fldChar w:fldCharType="end"/>
      </w:r>
    </w:p>
    <w:p w14:paraId="4468AF8E" w14:textId="643844D6" w:rsidR="00287946" w:rsidRDefault="00287946">
      <w:pPr>
        <w:rPr>
          <w:b/>
        </w:rPr>
      </w:pPr>
      <w:r>
        <w:rPr>
          <w:b/>
        </w:rPr>
        <w:br w:type="page"/>
      </w:r>
    </w:p>
    <w:p w14:paraId="1D923377" w14:textId="77777777" w:rsidR="00287946" w:rsidRDefault="00287946" w:rsidP="00287946">
      <w:pPr>
        <w:spacing w:after="160" w:line="480" w:lineRule="auto"/>
        <w:jc w:val="both"/>
        <w:rPr>
          <w:b/>
        </w:rPr>
      </w:pPr>
      <w:r>
        <w:rPr>
          <w:b/>
          <w:noProof/>
        </w:rPr>
        <w:lastRenderedPageBreak/>
        <w:drawing>
          <wp:inline distT="0" distB="0" distL="0" distR="0" wp14:anchorId="336472F8" wp14:editId="2F9B5A3A">
            <wp:extent cx="2476500" cy="2146300"/>
            <wp:effectExtent l="0" t="0" r="0" b="0"/>
            <wp:docPr id="617224668" name="Picture 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24668" name="Picture 2" descr="A picture containing text, screenshot, font, 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76500" cy="2146300"/>
                    </a:xfrm>
                    <a:prstGeom prst="rect">
                      <a:avLst/>
                    </a:prstGeom>
                  </pic:spPr>
                </pic:pic>
              </a:graphicData>
            </a:graphic>
          </wp:inline>
        </w:drawing>
      </w:r>
    </w:p>
    <w:p w14:paraId="0CCD19D3" w14:textId="77777777" w:rsidR="00287946" w:rsidRDefault="00287946" w:rsidP="00287946">
      <w:pPr>
        <w:spacing w:after="160" w:line="480" w:lineRule="auto"/>
        <w:jc w:val="both"/>
        <w:rPr>
          <w:b/>
        </w:rPr>
      </w:pPr>
      <w:r>
        <w:rPr>
          <w:b/>
        </w:rPr>
        <w:t>Table of contents graphic</w:t>
      </w:r>
    </w:p>
    <w:p w14:paraId="5DB5ABF1" w14:textId="77777777" w:rsidR="00287946" w:rsidRDefault="00287946">
      <w:pPr>
        <w:spacing w:after="160" w:line="480" w:lineRule="auto"/>
        <w:jc w:val="both"/>
        <w:rPr>
          <w:b/>
        </w:rPr>
      </w:pPr>
    </w:p>
    <w:sectPr w:rsidR="00287946">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6FBA0" w14:textId="77777777" w:rsidR="0023644C" w:rsidRDefault="0023644C">
      <w:pPr>
        <w:spacing w:line="240" w:lineRule="auto"/>
      </w:pPr>
      <w:r>
        <w:separator/>
      </w:r>
    </w:p>
  </w:endnote>
  <w:endnote w:type="continuationSeparator" w:id="0">
    <w:p w14:paraId="280B9ABB" w14:textId="77777777" w:rsidR="0023644C" w:rsidRDefault="002364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0CA5" w14:textId="77777777" w:rsidR="00380B92" w:rsidRDefault="00000000">
    <w:pPr>
      <w:jc w:val="right"/>
    </w:pPr>
    <w:r>
      <w:fldChar w:fldCharType="begin"/>
    </w:r>
    <w:r>
      <w:instrText>PAGE</w:instrText>
    </w:r>
    <w:r>
      <w:fldChar w:fldCharType="separate"/>
    </w:r>
    <w:r w:rsidR="004048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278CA" w14:textId="77777777" w:rsidR="0023644C" w:rsidRDefault="0023644C">
      <w:pPr>
        <w:spacing w:line="240" w:lineRule="auto"/>
      </w:pPr>
      <w:r>
        <w:separator/>
      </w:r>
    </w:p>
  </w:footnote>
  <w:footnote w:type="continuationSeparator" w:id="0">
    <w:p w14:paraId="4A8FE19D" w14:textId="77777777" w:rsidR="0023644C" w:rsidRDefault="0023644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B92"/>
    <w:rsid w:val="001A1D3F"/>
    <w:rsid w:val="001C4BC4"/>
    <w:rsid w:val="0023644C"/>
    <w:rsid w:val="00287946"/>
    <w:rsid w:val="002B1B0B"/>
    <w:rsid w:val="00380B92"/>
    <w:rsid w:val="003C23AC"/>
    <w:rsid w:val="0040483C"/>
    <w:rsid w:val="004D6D72"/>
    <w:rsid w:val="00597788"/>
    <w:rsid w:val="005B72E9"/>
    <w:rsid w:val="00791212"/>
    <w:rsid w:val="008109DC"/>
    <w:rsid w:val="00921603"/>
    <w:rsid w:val="00AD41AB"/>
    <w:rsid w:val="00BA1E72"/>
    <w:rsid w:val="00D05EDA"/>
    <w:rsid w:val="00DC0297"/>
    <w:rsid w:val="00E72F8D"/>
    <w:rsid w:val="00E95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309FD2A"/>
  <w15:docId w15:val="{03F38C16-2F56-DD47-B634-0B9812AC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8109DC"/>
    <w:pPr>
      <w:tabs>
        <w:tab w:val="left" w:pos="380"/>
      </w:tabs>
      <w:spacing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26</Pages>
  <Words>17855</Words>
  <Characters>101775</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Griffin, John</cp:lastModifiedBy>
  <cp:revision>13</cp:revision>
  <dcterms:created xsi:type="dcterms:W3CDTF">2023-06-01T14:39:00Z</dcterms:created>
  <dcterms:modified xsi:type="dcterms:W3CDTF">2023-06-02T13:30:00Z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id="8mc2avx2"/&gt;&lt;style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