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353D3" w14:textId="6251E067" w:rsidR="00754A33" w:rsidRDefault="00341900" w:rsidP="00034449">
      <w:pPr>
        <w:spacing w:after="0" w:line="480" w:lineRule="auto"/>
        <w:jc w:val="center"/>
        <w:rPr>
          <w:rFonts w:ascii="Times New Roman" w:hAnsi="Times New Roman" w:cs="Times New Roman"/>
          <w:b/>
          <w:sz w:val="24"/>
          <w:szCs w:val="24"/>
          <w:lang w:val="en-US"/>
        </w:rPr>
      </w:pPr>
      <w:r w:rsidRPr="00341900">
        <w:rPr>
          <w:rFonts w:ascii="Times New Roman" w:hAnsi="Times New Roman" w:cs="Times New Roman"/>
          <w:b/>
          <w:sz w:val="28"/>
          <w:szCs w:val="24"/>
          <w:lang w:val="en-US"/>
        </w:rPr>
        <w:t>Financial and market impacts of buyer-supplier sustainability asymmet</w:t>
      </w:r>
      <w:r>
        <w:rPr>
          <w:rFonts w:ascii="Times New Roman" w:hAnsi="Times New Roman" w:cs="Times New Roman"/>
          <w:b/>
          <w:sz w:val="28"/>
          <w:szCs w:val="24"/>
          <w:lang w:val="en-US"/>
        </w:rPr>
        <w:t>ries</w:t>
      </w:r>
      <w:r w:rsidRPr="00341900">
        <w:rPr>
          <w:rFonts w:ascii="Times New Roman" w:hAnsi="Times New Roman" w:cs="Times New Roman"/>
          <w:b/>
          <w:sz w:val="28"/>
          <w:szCs w:val="24"/>
          <w:lang w:val="en-US"/>
        </w:rPr>
        <w:t>: Empirical evidence from sensitive industries</w:t>
      </w:r>
      <w:r w:rsidRPr="00341900" w:rsidDel="00341900">
        <w:rPr>
          <w:rFonts w:ascii="Times New Roman" w:hAnsi="Times New Roman" w:cs="Times New Roman"/>
          <w:b/>
          <w:sz w:val="28"/>
          <w:szCs w:val="24"/>
          <w:lang w:val="en-US"/>
        </w:rPr>
        <w:t xml:space="preserve"> </w:t>
      </w:r>
    </w:p>
    <w:p w14:paraId="308FE078" w14:textId="77777777" w:rsidR="00925BDF" w:rsidRDefault="00925BDF" w:rsidP="00E30048">
      <w:pPr>
        <w:spacing w:line="480" w:lineRule="auto"/>
        <w:rPr>
          <w:rFonts w:ascii="Times New Roman" w:hAnsi="Times New Roman" w:cs="Times New Roman"/>
          <w:b/>
          <w:sz w:val="24"/>
          <w:szCs w:val="24"/>
          <w:lang w:val="en-US"/>
        </w:rPr>
      </w:pPr>
    </w:p>
    <w:p w14:paraId="3FC39B98" w14:textId="5334EDB3" w:rsidR="00754A33" w:rsidRPr="00873B4D" w:rsidRDefault="00754A33" w:rsidP="00E30048">
      <w:pPr>
        <w:spacing w:line="480" w:lineRule="auto"/>
        <w:rPr>
          <w:rFonts w:ascii="Times New Roman" w:hAnsi="Times New Roman" w:cs="Times New Roman"/>
          <w:b/>
          <w:sz w:val="24"/>
          <w:szCs w:val="24"/>
          <w:lang w:val="en-US"/>
        </w:rPr>
      </w:pPr>
      <w:r w:rsidRPr="00873B4D">
        <w:rPr>
          <w:rFonts w:ascii="Times New Roman" w:hAnsi="Times New Roman" w:cs="Times New Roman"/>
          <w:b/>
          <w:sz w:val="24"/>
          <w:szCs w:val="24"/>
          <w:lang w:val="en-US"/>
        </w:rPr>
        <w:t>Abstract</w:t>
      </w:r>
    </w:p>
    <w:p w14:paraId="4E34FD2B" w14:textId="032F053A" w:rsidR="00754A33" w:rsidRDefault="001D6E4C" w:rsidP="00E507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this study is to </w:t>
      </w:r>
      <w:r w:rsidR="002D7473">
        <w:rPr>
          <w:rFonts w:ascii="Times New Roman" w:hAnsi="Times New Roman" w:cs="Times New Roman"/>
          <w:sz w:val="24"/>
          <w:szCs w:val="24"/>
          <w:lang w:val="en-US"/>
        </w:rPr>
        <w:t>analyze</w:t>
      </w:r>
      <w:r>
        <w:rPr>
          <w:rFonts w:ascii="Times New Roman" w:hAnsi="Times New Roman" w:cs="Times New Roman"/>
          <w:sz w:val="24"/>
          <w:szCs w:val="24"/>
          <w:lang w:val="en-US"/>
        </w:rPr>
        <w:t xml:space="preserve"> how environmental and social sustainability asymmetries in buyer-supplier relationships affect </w:t>
      </w:r>
      <w:r w:rsidR="00D663CD">
        <w:rPr>
          <w:rFonts w:ascii="Times New Roman" w:hAnsi="Times New Roman" w:cs="Times New Roman"/>
          <w:sz w:val="24"/>
          <w:szCs w:val="24"/>
          <w:lang w:val="en-US"/>
        </w:rPr>
        <w:t xml:space="preserve">the buyer </w:t>
      </w:r>
      <w:r w:rsidR="004F3825">
        <w:rPr>
          <w:rFonts w:ascii="Times New Roman" w:hAnsi="Times New Roman" w:cs="Times New Roman"/>
          <w:sz w:val="24"/>
          <w:szCs w:val="24"/>
          <w:lang w:val="en-US"/>
        </w:rPr>
        <w:t xml:space="preserve">financial and market </w:t>
      </w:r>
      <w:r w:rsidR="00D663CD">
        <w:rPr>
          <w:rFonts w:ascii="Times New Roman" w:hAnsi="Times New Roman" w:cs="Times New Roman"/>
          <w:sz w:val="24"/>
          <w:szCs w:val="24"/>
          <w:lang w:val="en-US"/>
        </w:rPr>
        <w:t>performance</w:t>
      </w:r>
      <w:r w:rsidR="004F3825">
        <w:rPr>
          <w:rFonts w:ascii="Times New Roman" w:hAnsi="Times New Roman" w:cs="Times New Roman"/>
          <w:sz w:val="24"/>
          <w:szCs w:val="24"/>
          <w:lang w:val="en-US"/>
        </w:rPr>
        <w:t xml:space="preserve">. In particular, we draw from </w:t>
      </w:r>
      <w:r w:rsidRPr="00873B4D">
        <w:rPr>
          <w:rFonts w:ascii="Times New Roman" w:hAnsi="Times New Roman" w:cs="Times New Roman"/>
          <w:sz w:val="24"/>
          <w:szCs w:val="24"/>
          <w:lang w:val="en-US"/>
        </w:rPr>
        <w:t>legitima</w:t>
      </w:r>
      <w:r w:rsidR="00613654">
        <w:rPr>
          <w:rFonts w:ascii="Times New Roman" w:hAnsi="Times New Roman" w:cs="Times New Roman"/>
          <w:sz w:val="24"/>
          <w:szCs w:val="24"/>
          <w:lang w:val="en-US"/>
        </w:rPr>
        <w:t>cy theory</w:t>
      </w:r>
      <w:r w:rsidR="004F3825">
        <w:rPr>
          <w:rFonts w:ascii="Times New Roman" w:hAnsi="Times New Roman" w:cs="Times New Roman"/>
          <w:sz w:val="24"/>
          <w:szCs w:val="24"/>
          <w:lang w:val="en-US"/>
        </w:rPr>
        <w:t xml:space="preserve"> to explain how sustainability asymmetries affect firm performance</w:t>
      </w:r>
      <w:r w:rsidR="00680548">
        <w:rPr>
          <w:rFonts w:ascii="Times New Roman" w:hAnsi="Times New Roman" w:cs="Times New Roman"/>
          <w:sz w:val="24"/>
          <w:szCs w:val="24"/>
          <w:lang w:val="en-US"/>
        </w:rPr>
        <w:t xml:space="preserve">. </w:t>
      </w:r>
      <w:r w:rsidR="00754A33" w:rsidRPr="00873B4D">
        <w:rPr>
          <w:rFonts w:ascii="Times New Roman" w:hAnsi="Times New Roman" w:cs="Times New Roman"/>
          <w:sz w:val="24"/>
          <w:szCs w:val="24"/>
          <w:lang w:val="en-US"/>
        </w:rPr>
        <w:t xml:space="preserve">The hypotheses are tested using a longitudinal dataset of </w:t>
      </w:r>
      <w:r w:rsidR="00754A33">
        <w:rPr>
          <w:rFonts w:ascii="Times New Roman" w:hAnsi="Times New Roman" w:cs="Times New Roman"/>
          <w:sz w:val="24"/>
          <w:szCs w:val="24"/>
          <w:lang w:val="en-US"/>
        </w:rPr>
        <w:t>51</w:t>
      </w:r>
      <w:r w:rsidR="008E17D4">
        <w:rPr>
          <w:rFonts w:ascii="Times New Roman" w:hAnsi="Times New Roman" w:cs="Times New Roman"/>
          <w:sz w:val="24"/>
          <w:szCs w:val="24"/>
          <w:lang w:val="en-US"/>
        </w:rPr>
        <w:t>6</w:t>
      </w:r>
      <w:r w:rsidR="00754A33">
        <w:rPr>
          <w:rFonts w:ascii="Times New Roman" w:hAnsi="Times New Roman" w:cs="Times New Roman"/>
          <w:sz w:val="24"/>
          <w:szCs w:val="24"/>
          <w:lang w:val="en-US"/>
        </w:rPr>
        <w:t xml:space="preserve"> </w:t>
      </w:r>
      <w:r w:rsidR="00E507D8">
        <w:rPr>
          <w:rFonts w:ascii="Times New Roman" w:hAnsi="Times New Roman" w:cs="Times New Roman"/>
          <w:sz w:val="24"/>
          <w:szCs w:val="24"/>
          <w:lang w:val="en-US"/>
        </w:rPr>
        <w:t xml:space="preserve">buyer firms </w:t>
      </w:r>
      <w:r w:rsidR="003C3E55">
        <w:rPr>
          <w:rFonts w:ascii="Times New Roman" w:hAnsi="Times New Roman" w:cs="Times New Roman"/>
          <w:sz w:val="24"/>
          <w:szCs w:val="24"/>
          <w:lang w:val="en-US"/>
        </w:rPr>
        <w:t xml:space="preserve">belonging </w:t>
      </w:r>
      <w:r w:rsidR="00E507D8">
        <w:rPr>
          <w:rFonts w:ascii="Times New Roman" w:hAnsi="Times New Roman" w:cs="Times New Roman"/>
          <w:sz w:val="24"/>
          <w:szCs w:val="24"/>
          <w:lang w:val="en-US"/>
        </w:rPr>
        <w:t xml:space="preserve">to </w:t>
      </w:r>
      <w:r w:rsidR="00754A33">
        <w:rPr>
          <w:rFonts w:ascii="Times New Roman" w:hAnsi="Times New Roman" w:cs="Times New Roman"/>
          <w:sz w:val="24"/>
          <w:szCs w:val="24"/>
          <w:lang w:val="en-US"/>
        </w:rPr>
        <w:t xml:space="preserve">sensitive </w:t>
      </w:r>
      <w:r w:rsidR="00270295">
        <w:rPr>
          <w:rFonts w:ascii="Times New Roman" w:hAnsi="Times New Roman" w:cs="Times New Roman"/>
          <w:sz w:val="24"/>
          <w:szCs w:val="24"/>
          <w:lang w:val="en-US"/>
        </w:rPr>
        <w:t>industries</w:t>
      </w:r>
      <w:r w:rsidR="00754A33">
        <w:rPr>
          <w:rFonts w:ascii="Times New Roman" w:hAnsi="Times New Roman" w:cs="Times New Roman"/>
          <w:sz w:val="24"/>
          <w:szCs w:val="24"/>
          <w:lang w:val="en-US"/>
        </w:rPr>
        <w:t xml:space="preserve"> and their top </w:t>
      </w:r>
      <w:r w:rsidR="00FD5092">
        <w:rPr>
          <w:rFonts w:ascii="Times New Roman" w:hAnsi="Times New Roman" w:cs="Times New Roman"/>
          <w:sz w:val="24"/>
          <w:szCs w:val="24"/>
          <w:lang w:val="en-US"/>
        </w:rPr>
        <w:t>suppliers</w:t>
      </w:r>
      <w:r w:rsidR="00270295">
        <w:rPr>
          <w:rFonts w:ascii="Times New Roman" w:hAnsi="Times New Roman" w:cs="Times New Roman"/>
          <w:sz w:val="24"/>
          <w:szCs w:val="24"/>
          <w:lang w:val="en-US"/>
        </w:rPr>
        <w:t>.</w:t>
      </w:r>
      <w:r w:rsidR="00754A33" w:rsidRPr="00873B4D">
        <w:rPr>
          <w:rFonts w:ascii="Times New Roman" w:hAnsi="Times New Roman" w:cs="Times New Roman"/>
          <w:sz w:val="24"/>
          <w:szCs w:val="24"/>
          <w:lang w:val="en-US"/>
        </w:rPr>
        <w:t xml:space="preserve"> </w:t>
      </w:r>
      <w:r w:rsidR="007762C4">
        <w:rPr>
          <w:rFonts w:ascii="Times New Roman" w:hAnsi="Times New Roman" w:cs="Times New Roman"/>
          <w:sz w:val="24"/>
          <w:szCs w:val="24"/>
          <w:lang w:val="en-US"/>
        </w:rPr>
        <w:t>Results suggest that</w:t>
      </w:r>
      <w:r w:rsidR="00AC0BB9" w:rsidRPr="00AC0BB9">
        <w:rPr>
          <w:rFonts w:ascii="Times New Roman" w:hAnsi="Times New Roman" w:cs="Times New Roman"/>
          <w:sz w:val="24"/>
          <w:szCs w:val="24"/>
          <w:lang w:val="en-US"/>
        </w:rPr>
        <w:t xml:space="preserve">, contrary to earlier studies, sustainability asymmetries may have a positive effect on financial performance. </w:t>
      </w:r>
      <w:r w:rsidR="00AC0BB9">
        <w:rPr>
          <w:rFonts w:ascii="Times New Roman" w:hAnsi="Times New Roman" w:cs="Times New Roman"/>
          <w:sz w:val="24"/>
          <w:szCs w:val="24"/>
          <w:lang w:val="en-US"/>
        </w:rPr>
        <w:t xml:space="preserve">Moreover, we detected that </w:t>
      </w:r>
      <w:r w:rsidR="007762C4" w:rsidRPr="007762C4">
        <w:rPr>
          <w:rFonts w:ascii="Times New Roman" w:hAnsi="Times New Roman" w:cs="Times New Roman"/>
          <w:sz w:val="24"/>
          <w:szCs w:val="24"/>
          <w:lang w:val="en-US"/>
        </w:rPr>
        <w:t xml:space="preserve">whereas environmental asymmetries have a significant impact on firm performance, social asymmetries do not. </w:t>
      </w:r>
      <w:r w:rsidR="00AC0BB9">
        <w:rPr>
          <w:rFonts w:ascii="Times New Roman" w:hAnsi="Times New Roman" w:cs="Times New Roman"/>
          <w:sz w:val="24"/>
          <w:szCs w:val="24"/>
          <w:lang w:val="en-US"/>
        </w:rPr>
        <w:t xml:space="preserve">In addition, results suggest that, within the environmental dimension, asymmetries have different effects, depending on the </w:t>
      </w:r>
      <w:r w:rsidR="00630570">
        <w:rPr>
          <w:rFonts w:ascii="Times New Roman" w:hAnsi="Times New Roman" w:cs="Times New Roman"/>
          <w:sz w:val="24"/>
          <w:szCs w:val="24"/>
          <w:lang w:val="en-US"/>
        </w:rPr>
        <w:t>environmental sub-dimension</w:t>
      </w:r>
      <w:r w:rsidR="00AC0BB9">
        <w:rPr>
          <w:rFonts w:ascii="Times New Roman" w:hAnsi="Times New Roman" w:cs="Times New Roman"/>
          <w:sz w:val="24"/>
          <w:szCs w:val="24"/>
          <w:lang w:val="en-US"/>
        </w:rPr>
        <w:t>. For example, w</w:t>
      </w:r>
      <w:r w:rsidR="00AC0BB9" w:rsidRPr="00AC0BB9">
        <w:rPr>
          <w:rFonts w:ascii="Times New Roman" w:hAnsi="Times New Roman" w:cs="Times New Roman"/>
          <w:sz w:val="24"/>
          <w:szCs w:val="24"/>
          <w:lang w:val="en-US"/>
        </w:rPr>
        <w:t>hile having a higher buyer-supplier asymmetry in the resource reduction area improves buyer profitability, in the area of emissions it leads to a negative performance</w:t>
      </w:r>
      <w:r w:rsidR="00AC0BB9">
        <w:rPr>
          <w:rFonts w:ascii="Times New Roman" w:hAnsi="Times New Roman" w:cs="Times New Roman"/>
          <w:sz w:val="24"/>
          <w:szCs w:val="24"/>
          <w:lang w:val="en-US"/>
        </w:rPr>
        <w:t>.</w:t>
      </w:r>
      <w:r w:rsidR="00AC0BB9" w:rsidRPr="00AC0BB9">
        <w:rPr>
          <w:rFonts w:ascii="Times New Roman" w:hAnsi="Times New Roman" w:cs="Times New Roman"/>
          <w:sz w:val="24"/>
          <w:szCs w:val="24"/>
          <w:lang w:val="en-US"/>
        </w:rPr>
        <w:t xml:space="preserve"> </w:t>
      </w:r>
      <w:r w:rsidR="007762C4" w:rsidRPr="007762C4">
        <w:rPr>
          <w:rFonts w:ascii="Times New Roman" w:hAnsi="Times New Roman" w:cs="Times New Roman"/>
          <w:sz w:val="24"/>
          <w:szCs w:val="24"/>
          <w:lang w:val="en-US"/>
        </w:rPr>
        <w:t xml:space="preserve">Also, </w:t>
      </w:r>
      <w:r w:rsidR="007762C4">
        <w:rPr>
          <w:rFonts w:ascii="Times New Roman" w:hAnsi="Times New Roman" w:cs="Times New Roman"/>
          <w:sz w:val="24"/>
          <w:szCs w:val="24"/>
          <w:lang w:val="en-US"/>
        </w:rPr>
        <w:t>research</w:t>
      </w:r>
      <w:r w:rsidR="007762C4" w:rsidRPr="007762C4">
        <w:rPr>
          <w:rFonts w:ascii="Times New Roman" w:hAnsi="Times New Roman" w:cs="Times New Roman"/>
          <w:sz w:val="24"/>
          <w:szCs w:val="24"/>
          <w:lang w:val="en-US"/>
        </w:rPr>
        <w:t xml:space="preserve"> show</w:t>
      </w:r>
      <w:r w:rsidR="007762C4">
        <w:rPr>
          <w:rFonts w:ascii="Times New Roman" w:hAnsi="Times New Roman" w:cs="Times New Roman"/>
          <w:sz w:val="24"/>
          <w:szCs w:val="24"/>
          <w:lang w:val="en-US"/>
        </w:rPr>
        <w:t>s</w:t>
      </w:r>
      <w:r w:rsidR="007762C4" w:rsidRPr="007762C4">
        <w:rPr>
          <w:rFonts w:ascii="Times New Roman" w:hAnsi="Times New Roman" w:cs="Times New Roman"/>
          <w:sz w:val="24"/>
          <w:szCs w:val="24"/>
          <w:lang w:val="en-US"/>
        </w:rPr>
        <w:t xml:space="preserve"> that such impact will depend on which </w:t>
      </w:r>
      <w:r w:rsidR="007762C4" w:rsidRPr="007762C4">
        <w:rPr>
          <w:rFonts w:ascii="Times New Roman" w:hAnsi="Times New Roman" w:cs="Times New Roman"/>
          <w:sz w:val="24"/>
          <w:szCs w:val="24"/>
          <w:lang w:val="en-US"/>
        </w:rPr>
        <w:t>party is leading the sustainability initiatives (i.e. buyer or supplier).</w:t>
      </w:r>
      <w:r w:rsidR="00AC0BB9">
        <w:rPr>
          <w:rFonts w:ascii="Times New Roman" w:eastAsia="Calibri" w:hAnsi="Times New Roman" w:cs="Times New Roman"/>
          <w:sz w:val="24"/>
          <w:szCs w:val="24"/>
          <w:lang w:val="en-GB"/>
        </w:rPr>
        <w:t xml:space="preserve"> </w:t>
      </w:r>
      <w:r w:rsidR="005A5838">
        <w:rPr>
          <w:rFonts w:ascii="Times New Roman" w:eastAsia="Calibri" w:hAnsi="Times New Roman" w:cs="Times New Roman"/>
          <w:sz w:val="24"/>
          <w:szCs w:val="24"/>
          <w:lang w:val="en-GB"/>
        </w:rPr>
        <w:t xml:space="preserve">The main managerial implication is that </w:t>
      </w:r>
      <w:r w:rsidR="00AC0BB9" w:rsidRPr="00AC0BB9">
        <w:rPr>
          <w:rFonts w:ascii="Times New Roman" w:eastAsia="Calibri" w:hAnsi="Times New Roman" w:cs="Times New Roman"/>
          <w:sz w:val="24"/>
          <w:szCs w:val="24"/>
          <w:lang w:val="en-GB"/>
        </w:rPr>
        <w:t xml:space="preserve">investing in reducing buyer-supplier sustainability asymmetries can </w:t>
      </w:r>
      <w:r w:rsidR="00AC0BB9" w:rsidRPr="00AC0BB9">
        <w:rPr>
          <w:rFonts w:ascii="Times New Roman" w:eastAsia="Calibri" w:hAnsi="Times New Roman" w:cs="Times New Roman"/>
          <w:sz w:val="24"/>
          <w:szCs w:val="24"/>
          <w:lang w:val="en-GB"/>
        </w:rPr>
        <w:t>be counterproductive</w:t>
      </w:r>
      <w:r w:rsidR="005A5838">
        <w:rPr>
          <w:rFonts w:ascii="Times New Roman" w:eastAsia="Calibri" w:hAnsi="Times New Roman" w:cs="Times New Roman"/>
          <w:sz w:val="24"/>
          <w:szCs w:val="24"/>
          <w:lang w:val="en-GB"/>
        </w:rPr>
        <w:t xml:space="preserve"> in certain dimensions</w:t>
      </w:r>
      <w:r w:rsidR="00AC0BB9">
        <w:rPr>
          <w:rFonts w:ascii="Times New Roman" w:eastAsia="Calibri" w:hAnsi="Times New Roman" w:cs="Times New Roman"/>
          <w:sz w:val="24"/>
          <w:szCs w:val="24"/>
          <w:lang w:val="en-GB"/>
        </w:rPr>
        <w:t xml:space="preserve">, whereas in </w:t>
      </w:r>
      <w:r w:rsidR="005A5838">
        <w:rPr>
          <w:rFonts w:ascii="Times New Roman" w:eastAsia="Calibri" w:hAnsi="Times New Roman" w:cs="Times New Roman"/>
          <w:sz w:val="24"/>
          <w:szCs w:val="24"/>
          <w:lang w:val="en-GB"/>
        </w:rPr>
        <w:t>other ones</w:t>
      </w:r>
      <w:r w:rsidR="004F3825">
        <w:rPr>
          <w:rFonts w:ascii="Times New Roman" w:eastAsia="Calibri" w:hAnsi="Times New Roman" w:cs="Times New Roman"/>
          <w:sz w:val="24"/>
          <w:szCs w:val="24"/>
          <w:lang w:val="en-GB"/>
        </w:rPr>
        <w:t xml:space="preserve"> it</w:t>
      </w:r>
      <w:r w:rsidR="00AC0BB9">
        <w:rPr>
          <w:rFonts w:ascii="Times New Roman" w:eastAsia="Calibri" w:hAnsi="Times New Roman" w:cs="Times New Roman"/>
          <w:sz w:val="24"/>
          <w:szCs w:val="24"/>
          <w:lang w:val="en-GB"/>
        </w:rPr>
        <w:t xml:space="preserve"> could </w:t>
      </w:r>
      <w:r w:rsidR="00F97C97">
        <w:rPr>
          <w:rFonts w:ascii="Times New Roman" w:eastAsia="Calibri" w:hAnsi="Times New Roman" w:cs="Times New Roman"/>
          <w:sz w:val="24"/>
          <w:szCs w:val="24"/>
          <w:lang w:val="en-GB"/>
        </w:rPr>
        <w:t xml:space="preserve">actually </w:t>
      </w:r>
      <w:r w:rsidR="00AC0BB9">
        <w:rPr>
          <w:rFonts w:ascii="Times New Roman" w:eastAsia="Calibri" w:hAnsi="Times New Roman" w:cs="Times New Roman"/>
          <w:sz w:val="24"/>
          <w:szCs w:val="24"/>
          <w:lang w:val="en-GB"/>
        </w:rPr>
        <w:t>improve financial and market performance</w:t>
      </w:r>
      <w:r w:rsidR="00AC0BB9" w:rsidRPr="00AC0BB9">
        <w:rPr>
          <w:rFonts w:ascii="Times New Roman" w:eastAsia="Calibri" w:hAnsi="Times New Roman" w:cs="Times New Roman"/>
          <w:sz w:val="24"/>
          <w:szCs w:val="24"/>
          <w:lang w:val="en-GB"/>
        </w:rPr>
        <w:t>.</w:t>
      </w:r>
    </w:p>
    <w:p w14:paraId="28A7C471" w14:textId="77777777" w:rsidR="00A070F3" w:rsidRDefault="00A070F3" w:rsidP="00C51C05">
      <w:pPr>
        <w:spacing w:line="480" w:lineRule="auto"/>
        <w:jc w:val="both"/>
        <w:rPr>
          <w:rFonts w:ascii="Times New Roman" w:hAnsi="Times New Roman" w:cs="Times New Roman"/>
          <w:b/>
          <w:sz w:val="24"/>
          <w:szCs w:val="24"/>
          <w:lang w:val="en-US"/>
        </w:rPr>
      </w:pPr>
    </w:p>
    <w:p w14:paraId="61E14A7D" w14:textId="6157C37E" w:rsidR="00C51C05" w:rsidRDefault="00C51C05" w:rsidP="00C51C05">
      <w:pPr>
        <w:spacing w:line="480" w:lineRule="auto"/>
        <w:jc w:val="both"/>
        <w:rPr>
          <w:rFonts w:ascii="Times New Roman" w:hAnsi="Times New Roman" w:cs="Times New Roman"/>
          <w:sz w:val="24"/>
          <w:szCs w:val="24"/>
          <w:lang w:val="en-US"/>
        </w:rPr>
      </w:pPr>
      <w:r w:rsidRPr="001C043F">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00270295">
        <w:rPr>
          <w:rFonts w:ascii="Times New Roman" w:hAnsi="Times New Roman" w:cs="Times New Roman"/>
          <w:sz w:val="24"/>
          <w:szCs w:val="24"/>
          <w:lang w:val="en-US"/>
        </w:rPr>
        <w:t xml:space="preserve">Environmental and Social Sustainability; Buyer-supplier relationships; Asymmetry; Financial </w:t>
      </w:r>
      <w:r w:rsidR="008E17D4">
        <w:rPr>
          <w:rFonts w:ascii="Times New Roman" w:hAnsi="Times New Roman" w:cs="Times New Roman"/>
          <w:sz w:val="24"/>
          <w:szCs w:val="24"/>
          <w:lang w:val="en-US"/>
        </w:rPr>
        <w:t xml:space="preserve">and market </w:t>
      </w:r>
      <w:r w:rsidR="00270295">
        <w:rPr>
          <w:rFonts w:ascii="Times New Roman" w:hAnsi="Times New Roman" w:cs="Times New Roman"/>
          <w:sz w:val="24"/>
          <w:szCs w:val="24"/>
          <w:lang w:val="en-US"/>
        </w:rPr>
        <w:t>performance; Sensitive industries</w:t>
      </w:r>
      <w:r w:rsidR="000C09E1">
        <w:rPr>
          <w:rFonts w:ascii="Times New Roman" w:hAnsi="Times New Roman" w:cs="Times New Roman"/>
          <w:sz w:val="24"/>
          <w:szCs w:val="24"/>
          <w:lang w:val="en-US"/>
        </w:rPr>
        <w:t>.</w:t>
      </w:r>
    </w:p>
    <w:p w14:paraId="1AF37E85" w14:textId="485C4BE2" w:rsidR="00ED7389" w:rsidRPr="00C51C05" w:rsidRDefault="00ED7389" w:rsidP="00C51C05">
      <w:pPr>
        <w:pStyle w:val="Ttulo1"/>
        <w:rPr>
          <w:szCs w:val="24"/>
        </w:rPr>
      </w:pPr>
      <w:r w:rsidRPr="00BC4E12">
        <w:lastRenderedPageBreak/>
        <w:t>1.  I</w:t>
      </w:r>
      <w:r w:rsidR="00D1660C">
        <w:t>ntroduction</w:t>
      </w:r>
    </w:p>
    <w:p w14:paraId="0A497761" w14:textId="77777777" w:rsidR="000C09E1" w:rsidRDefault="000C09E1" w:rsidP="000C09E1">
      <w:pPr>
        <w:spacing w:line="240" w:lineRule="auto"/>
        <w:jc w:val="both"/>
        <w:rPr>
          <w:rFonts w:ascii="Times New Roman" w:hAnsi="Times New Roman" w:cs="Times New Roman"/>
          <w:i/>
          <w:sz w:val="24"/>
          <w:szCs w:val="24"/>
          <w:lang w:val="en-US"/>
        </w:rPr>
      </w:pPr>
    </w:p>
    <w:p w14:paraId="3F758D85" w14:textId="77777777" w:rsidR="008B6A67" w:rsidRPr="0012650C" w:rsidRDefault="008B6A67" w:rsidP="008B6A67">
      <w:pPr>
        <w:spacing w:line="480" w:lineRule="auto"/>
        <w:jc w:val="both"/>
        <w:rPr>
          <w:rFonts w:ascii="Times New Roman" w:hAnsi="Times New Roman" w:cs="Times New Roman"/>
          <w:i/>
          <w:sz w:val="24"/>
          <w:szCs w:val="24"/>
          <w:lang w:val="en-US"/>
        </w:rPr>
      </w:pPr>
      <w:r w:rsidRPr="0012650C">
        <w:rPr>
          <w:rFonts w:ascii="Times New Roman" w:hAnsi="Times New Roman" w:cs="Times New Roman"/>
          <w:i/>
          <w:sz w:val="24"/>
          <w:szCs w:val="24"/>
          <w:lang w:val="en-US"/>
        </w:rPr>
        <w:t>“The universe is asymmetrical” (Lou</w:t>
      </w:r>
      <w:r w:rsidRPr="00873B4D">
        <w:rPr>
          <w:rFonts w:ascii="Times New Roman" w:hAnsi="Times New Roman" w:cs="Times New Roman"/>
          <w:i/>
          <w:sz w:val="24"/>
          <w:szCs w:val="24"/>
          <w:lang w:val="en-US"/>
        </w:rPr>
        <w:t>i</w:t>
      </w:r>
      <w:r w:rsidRPr="0012650C">
        <w:rPr>
          <w:rFonts w:ascii="Times New Roman" w:hAnsi="Times New Roman" w:cs="Times New Roman"/>
          <w:i/>
          <w:sz w:val="24"/>
          <w:szCs w:val="24"/>
          <w:lang w:val="en-US"/>
        </w:rPr>
        <w:t>s Pasteur)</w:t>
      </w:r>
    </w:p>
    <w:p w14:paraId="51AAEA63" w14:textId="6A6F796C" w:rsidR="00DD08F4" w:rsidRDefault="00D822FE" w:rsidP="00EF0454">
      <w:pPr>
        <w:spacing w:line="480" w:lineRule="auto"/>
        <w:jc w:val="both"/>
        <w:rPr>
          <w:rFonts w:ascii="Times New Roman" w:hAnsi="Times New Roman" w:cs="Times New Roman"/>
          <w:sz w:val="24"/>
          <w:szCs w:val="24"/>
          <w:lang w:val="en-US"/>
        </w:rPr>
      </w:pPr>
      <w:bookmarkStart w:id="0" w:name="_Hlk92969252"/>
      <w:r>
        <w:rPr>
          <w:rFonts w:ascii="Times New Roman" w:hAnsi="Times New Roman" w:cs="Times New Roman"/>
          <w:sz w:val="24"/>
          <w:szCs w:val="24"/>
          <w:lang w:val="en-US"/>
        </w:rPr>
        <w:t>In recent years, s</w:t>
      </w:r>
      <w:r w:rsidR="0052275F">
        <w:rPr>
          <w:rFonts w:ascii="Times New Roman" w:hAnsi="Times New Roman" w:cs="Times New Roman"/>
          <w:sz w:val="24"/>
          <w:szCs w:val="24"/>
          <w:lang w:val="en-US"/>
        </w:rPr>
        <w:t xml:space="preserve">ustainability </w:t>
      </w:r>
      <w:r>
        <w:rPr>
          <w:rFonts w:ascii="Times New Roman" w:hAnsi="Times New Roman" w:cs="Times New Roman"/>
          <w:sz w:val="24"/>
          <w:szCs w:val="24"/>
          <w:lang w:val="en-US"/>
        </w:rPr>
        <w:t xml:space="preserve">has </w:t>
      </w:r>
      <w:r w:rsidR="004405C2">
        <w:rPr>
          <w:rFonts w:ascii="Times New Roman" w:hAnsi="Times New Roman" w:cs="Times New Roman"/>
          <w:sz w:val="24"/>
          <w:szCs w:val="24"/>
          <w:lang w:val="en-US"/>
        </w:rPr>
        <w:t>become t</w:t>
      </w:r>
      <w:r w:rsidR="0071754F">
        <w:rPr>
          <w:rFonts w:ascii="Times New Roman" w:hAnsi="Times New Roman" w:cs="Times New Roman"/>
          <w:sz w:val="24"/>
          <w:szCs w:val="24"/>
          <w:lang w:val="en-US"/>
        </w:rPr>
        <w:t>he center of the global agenda of firms and society in general</w:t>
      </w:r>
      <w:r w:rsidR="0045778F">
        <w:rPr>
          <w:rFonts w:ascii="Times New Roman" w:hAnsi="Times New Roman" w:cs="Times New Roman"/>
          <w:sz w:val="24"/>
          <w:szCs w:val="24"/>
          <w:lang w:val="en-US"/>
        </w:rPr>
        <w:t xml:space="preserve"> (</w:t>
      </w:r>
      <w:r w:rsidR="0045778F">
        <w:rPr>
          <w:rFonts w:ascii="Times New Roman" w:hAnsi="Times New Roman" w:cs="Times New Roman"/>
          <w:sz w:val="24"/>
          <w:szCs w:val="24"/>
          <w:lang w:val="en-US"/>
        </w:rPr>
        <w:t>Awan et al., 2021)</w:t>
      </w:r>
      <w:r w:rsidR="0071754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405C2">
        <w:rPr>
          <w:rFonts w:ascii="Times New Roman" w:hAnsi="Times New Roman" w:cs="Times New Roman"/>
          <w:sz w:val="24"/>
          <w:szCs w:val="24"/>
          <w:lang w:val="en-US"/>
        </w:rPr>
        <w:t>However</w:t>
      </w:r>
      <w:r w:rsidR="0052275F">
        <w:rPr>
          <w:rFonts w:ascii="Times New Roman" w:hAnsi="Times New Roman" w:cs="Times New Roman"/>
          <w:sz w:val="24"/>
          <w:szCs w:val="24"/>
          <w:lang w:val="en-US"/>
        </w:rPr>
        <w:t>,</w:t>
      </w:r>
      <w:r w:rsidR="0071754F">
        <w:rPr>
          <w:rFonts w:ascii="Times New Roman" w:hAnsi="Times New Roman" w:cs="Times New Roman"/>
          <w:sz w:val="24"/>
          <w:szCs w:val="24"/>
          <w:lang w:val="en-US"/>
        </w:rPr>
        <w:t xml:space="preserve"> </w:t>
      </w:r>
      <w:bookmarkStart w:id="1" w:name="_Hlk92969450"/>
      <w:r w:rsidR="0071754F">
        <w:rPr>
          <w:rFonts w:ascii="Times New Roman" w:hAnsi="Times New Roman" w:cs="Times New Roman"/>
          <w:sz w:val="24"/>
          <w:szCs w:val="24"/>
          <w:lang w:val="en-US"/>
        </w:rPr>
        <w:t>i</w:t>
      </w:r>
      <w:r w:rsidR="0052275F">
        <w:rPr>
          <w:rFonts w:ascii="Times New Roman" w:hAnsi="Times New Roman" w:cs="Times New Roman"/>
          <w:sz w:val="24"/>
          <w:szCs w:val="24"/>
          <w:lang w:val="en-US"/>
        </w:rPr>
        <w:t xml:space="preserve">t </w:t>
      </w:r>
      <w:r w:rsidR="004405C2">
        <w:rPr>
          <w:rFonts w:ascii="Times New Roman" w:hAnsi="Times New Roman" w:cs="Times New Roman"/>
          <w:sz w:val="24"/>
          <w:szCs w:val="24"/>
          <w:lang w:val="en-US"/>
        </w:rPr>
        <w:t xml:space="preserve">has been argued that sustainability cannot be achieved without considering how global supply chains operate and to what extent their members are aligned </w:t>
      </w:r>
      <w:bookmarkEnd w:id="0"/>
      <w:bookmarkEnd w:id="1"/>
      <w:r w:rsidR="00F3370E" w:rsidRPr="00F3370E">
        <w:rPr>
          <w:rFonts w:ascii="Times New Roman" w:hAnsi="Times New Roman" w:cs="Times New Roman"/>
          <w:sz w:val="24"/>
          <w:lang w:val="en-US"/>
        </w:rPr>
        <w:t>(</w:t>
      </w:r>
      <w:r w:rsidR="00ED7CE4">
        <w:rPr>
          <w:rFonts w:ascii="Times New Roman" w:hAnsi="Times New Roman" w:cs="Times New Roman"/>
          <w:sz w:val="24"/>
          <w:lang w:val="en-US"/>
        </w:rPr>
        <w:t xml:space="preserve">Awan et al., 2018; </w:t>
      </w:r>
      <w:proofErr w:type="spellStart"/>
      <w:r w:rsidR="00F3370E" w:rsidRPr="00F3370E">
        <w:rPr>
          <w:rFonts w:ascii="Times New Roman" w:hAnsi="Times New Roman" w:cs="Times New Roman"/>
          <w:sz w:val="24"/>
          <w:lang w:val="en-US"/>
        </w:rPr>
        <w:t>Bastas</w:t>
      </w:r>
      <w:proofErr w:type="spellEnd"/>
      <w:r w:rsidR="00F3370E" w:rsidRPr="00F3370E">
        <w:rPr>
          <w:rFonts w:ascii="Times New Roman" w:hAnsi="Times New Roman" w:cs="Times New Roman"/>
          <w:sz w:val="24"/>
          <w:lang w:val="en-US"/>
        </w:rPr>
        <w:t xml:space="preserve"> and </w:t>
      </w:r>
      <w:proofErr w:type="spellStart"/>
      <w:r w:rsidR="00F3370E" w:rsidRPr="00F3370E">
        <w:rPr>
          <w:rFonts w:ascii="Times New Roman" w:hAnsi="Times New Roman" w:cs="Times New Roman"/>
          <w:sz w:val="24"/>
          <w:lang w:val="en-US"/>
        </w:rPr>
        <w:t>Liyanage</w:t>
      </w:r>
      <w:proofErr w:type="spellEnd"/>
      <w:r w:rsidR="00F3370E" w:rsidRPr="00F3370E">
        <w:rPr>
          <w:rFonts w:ascii="Times New Roman" w:hAnsi="Times New Roman" w:cs="Times New Roman"/>
          <w:sz w:val="24"/>
          <w:lang w:val="en-US"/>
        </w:rPr>
        <w:t>, 2018; Quarshie et al., 2016)</w:t>
      </w:r>
      <w:r w:rsidR="00AC5E72" w:rsidRPr="007A3645">
        <w:rPr>
          <w:rFonts w:ascii="Times New Roman" w:hAnsi="Times New Roman" w:cs="Times New Roman"/>
          <w:sz w:val="24"/>
          <w:szCs w:val="24"/>
          <w:lang w:val="en-US"/>
        </w:rPr>
        <w:t>.</w:t>
      </w:r>
      <w:r w:rsidR="00AC5E72">
        <w:rPr>
          <w:rFonts w:ascii="Times New Roman" w:hAnsi="Times New Roman" w:cs="Times New Roman"/>
          <w:sz w:val="24"/>
          <w:szCs w:val="24"/>
          <w:lang w:val="en-US"/>
        </w:rPr>
        <w:t xml:space="preserve"> </w:t>
      </w:r>
      <w:r w:rsidR="00C91C12">
        <w:rPr>
          <w:rFonts w:ascii="Times New Roman" w:hAnsi="Times New Roman" w:cs="Times New Roman"/>
          <w:sz w:val="24"/>
          <w:szCs w:val="24"/>
          <w:lang w:val="en-US"/>
        </w:rPr>
        <w:t xml:space="preserve">Previous research suggests that </w:t>
      </w:r>
      <w:r w:rsidR="00AC5E72">
        <w:rPr>
          <w:rFonts w:ascii="Times New Roman" w:hAnsi="Times New Roman" w:cs="Times New Roman"/>
          <w:sz w:val="24"/>
          <w:szCs w:val="24"/>
          <w:lang w:val="en-US"/>
        </w:rPr>
        <w:t xml:space="preserve">the sustainability level of a particular supply chain cannot be stronger than its weakest supply chain member </w:t>
      </w:r>
      <w:r w:rsidR="00F3370E" w:rsidRPr="00F3370E">
        <w:rPr>
          <w:rFonts w:ascii="Times New Roman" w:hAnsi="Times New Roman" w:cs="Times New Roman"/>
          <w:sz w:val="24"/>
          <w:lang w:val="en-US"/>
        </w:rPr>
        <w:t>(</w:t>
      </w:r>
      <w:proofErr w:type="spellStart"/>
      <w:r w:rsidR="00ED67A5">
        <w:rPr>
          <w:rFonts w:ascii="Times New Roman" w:hAnsi="Times New Roman" w:cs="Times New Roman"/>
          <w:sz w:val="24"/>
          <w:lang w:val="en-US"/>
        </w:rPr>
        <w:t>Tachizawa</w:t>
      </w:r>
      <w:proofErr w:type="spellEnd"/>
      <w:r w:rsidR="00ED67A5">
        <w:rPr>
          <w:rFonts w:ascii="Times New Roman" w:hAnsi="Times New Roman" w:cs="Times New Roman"/>
          <w:sz w:val="24"/>
          <w:lang w:val="en-US"/>
        </w:rPr>
        <w:t xml:space="preserve"> and Wong, 2014</w:t>
      </w:r>
      <w:r w:rsidR="00F3370E" w:rsidRPr="00F3370E">
        <w:rPr>
          <w:rFonts w:ascii="Times New Roman" w:hAnsi="Times New Roman" w:cs="Times New Roman"/>
          <w:sz w:val="24"/>
          <w:lang w:val="en-US"/>
        </w:rPr>
        <w:t>)</w:t>
      </w:r>
      <w:r w:rsidR="00AC5E72">
        <w:rPr>
          <w:rFonts w:ascii="Times New Roman" w:hAnsi="Times New Roman" w:cs="Times New Roman"/>
          <w:sz w:val="24"/>
          <w:szCs w:val="24"/>
          <w:lang w:val="en-US"/>
        </w:rPr>
        <w:t xml:space="preserve">. </w:t>
      </w:r>
      <w:r w:rsidR="00ED67A5">
        <w:rPr>
          <w:rFonts w:ascii="Times New Roman" w:hAnsi="Times New Roman" w:cs="Times New Roman"/>
          <w:sz w:val="24"/>
          <w:szCs w:val="24"/>
          <w:lang w:val="en-US"/>
        </w:rPr>
        <w:t>However</w:t>
      </w:r>
      <w:r w:rsidR="001D4FB7">
        <w:rPr>
          <w:rFonts w:ascii="Times New Roman" w:hAnsi="Times New Roman" w:cs="Times New Roman"/>
          <w:sz w:val="24"/>
          <w:szCs w:val="24"/>
          <w:lang w:val="en-US"/>
        </w:rPr>
        <w:t>, s</w:t>
      </w:r>
      <w:r w:rsidR="00E63FC1" w:rsidRPr="008E0F48">
        <w:rPr>
          <w:rFonts w:ascii="Times New Roman" w:hAnsi="Times New Roman" w:cs="Times New Roman"/>
          <w:sz w:val="24"/>
          <w:szCs w:val="24"/>
          <w:lang w:val="en-US"/>
        </w:rPr>
        <w:t>upply chain managers are typically faced with a reality</w:t>
      </w:r>
      <w:r w:rsidR="004032C8">
        <w:rPr>
          <w:rFonts w:ascii="Times New Roman" w:hAnsi="Times New Roman" w:cs="Times New Roman"/>
          <w:sz w:val="24"/>
          <w:szCs w:val="24"/>
          <w:lang w:val="en-US"/>
        </w:rPr>
        <w:t xml:space="preserve"> in </w:t>
      </w:r>
      <w:r w:rsidR="00E63FC1" w:rsidRPr="008E0F48">
        <w:rPr>
          <w:rFonts w:ascii="Times New Roman" w:hAnsi="Times New Roman" w:cs="Times New Roman"/>
          <w:sz w:val="24"/>
          <w:szCs w:val="24"/>
          <w:lang w:val="en-US"/>
        </w:rPr>
        <w:t xml:space="preserve">which there are different perspectives and tensions </w:t>
      </w:r>
      <w:r w:rsidR="007E7512" w:rsidRPr="008E0F48">
        <w:rPr>
          <w:rFonts w:ascii="Times New Roman" w:hAnsi="Times New Roman" w:cs="Times New Roman"/>
          <w:sz w:val="24"/>
          <w:szCs w:val="24"/>
          <w:lang w:val="en-US"/>
        </w:rPr>
        <w:t xml:space="preserve">among </w:t>
      </w:r>
      <w:r w:rsidR="00E63FC1" w:rsidRPr="008E0F48">
        <w:rPr>
          <w:rFonts w:ascii="Times New Roman" w:hAnsi="Times New Roman" w:cs="Times New Roman"/>
          <w:sz w:val="24"/>
          <w:szCs w:val="24"/>
          <w:lang w:val="en-US"/>
        </w:rPr>
        <w:t xml:space="preserve">supply chain partners when sustainability programs are introduced </w:t>
      </w:r>
      <w:r w:rsidR="00F3370E" w:rsidRPr="00F3370E">
        <w:rPr>
          <w:rFonts w:ascii="Times New Roman" w:hAnsi="Times New Roman" w:cs="Times New Roman"/>
          <w:sz w:val="24"/>
          <w:lang w:val="en-US"/>
        </w:rPr>
        <w:t>(Tura et al., 2019)</w:t>
      </w:r>
      <w:r w:rsidR="00AC5E72" w:rsidRPr="00BE2B64">
        <w:rPr>
          <w:rFonts w:ascii="Times New Roman" w:hAnsi="Times New Roman" w:cs="Times New Roman"/>
          <w:sz w:val="24"/>
          <w:szCs w:val="24"/>
          <w:lang w:val="en-US"/>
        </w:rPr>
        <w:t>.</w:t>
      </w:r>
      <w:r w:rsidR="00E63FC1" w:rsidRPr="00F96AB9">
        <w:rPr>
          <w:rFonts w:ascii="Times New Roman" w:hAnsi="Times New Roman" w:cs="Times New Roman"/>
          <w:sz w:val="24"/>
          <w:szCs w:val="24"/>
          <w:lang w:val="en-US"/>
        </w:rPr>
        <w:t xml:space="preserve"> </w:t>
      </w:r>
      <w:r w:rsidR="00DD08F4">
        <w:rPr>
          <w:rFonts w:ascii="Times New Roman" w:hAnsi="Times New Roman" w:cs="Times New Roman"/>
          <w:sz w:val="24"/>
          <w:szCs w:val="24"/>
          <w:lang w:val="en-US"/>
        </w:rPr>
        <w:t xml:space="preserve"> </w:t>
      </w:r>
      <w:r w:rsidR="00B1009D" w:rsidRPr="00B1009D">
        <w:rPr>
          <w:rFonts w:ascii="Times New Roman" w:hAnsi="Times New Roman" w:cs="Times New Roman"/>
          <w:sz w:val="24"/>
          <w:szCs w:val="24"/>
          <w:lang w:val="en-US"/>
        </w:rPr>
        <w:t>Empirical evidence suggests that it is highly unlikely that all firms along a supply chain are at the same stage in terms of sustainability development, not only due to differences in their business models, but also because of different institutional pressures (</w:t>
      </w:r>
      <w:proofErr w:type="spellStart"/>
      <w:r w:rsidR="00B1009D" w:rsidRPr="00B1009D">
        <w:rPr>
          <w:rFonts w:ascii="Times New Roman" w:hAnsi="Times New Roman" w:cs="Times New Roman"/>
          <w:sz w:val="24"/>
          <w:szCs w:val="24"/>
          <w:lang w:val="en-US"/>
        </w:rPr>
        <w:t>Meqdadi</w:t>
      </w:r>
      <w:proofErr w:type="spellEnd"/>
      <w:r w:rsidR="00B1009D" w:rsidRPr="00B1009D">
        <w:rPr>
          <w:rFonts w:ascii="Times New Roman" w:hAnsi="Times New Roman" w:cs="Times New Roman"/>
          <w:sz w:val="24"/>
          <w:szCs w:val="24"/>
          <w:lang w:val="en-US"/>
        </w:rPr>
        <w:t xml:space="preserve"> et al., 2019). </w:t>
      </w:r>
      <w:r w:rsidR="00B1009D">
        <w:rPr>
          <w:rFonts w:ascii="Times New Roman" w:hAnsi="Times New Roman" w:cs="Times New Roman"/>
          <w:sz w:val="24"/>
          <w:szCs w:val="24"/>
          <w:lang w:val="en-US"/>
        </w:rPr>
        <w:t>B</w:t>
      </w:r>
      <w:r w:rsidR="00B1009D" w:rsidRPr="00B1009D">
        <w:rPr>
          <w:rFonts w:ascii="Times New Roman" w:hAnsi="Times New Roman" w:cs="Times New Roman"/>
          <w:sz w:val="24"/>
          <w:szCs w:val="24"/>
          <w:lang w:val="en-US"/>
        </w:rPr>
        <w:t>uyers and suppliers may present sustainability asymmetries (i.e., the buyer and supplier have different levels of development in sustainability issues).</w:t>
      </w:r>
      <w:r w:rsidR="00B1009D">
        <w:rPr>
          <w:rFonts w:ascii="Times New Roman" w:hAnsi="Times New Roman" w:cs="Times New Roman"/>
          <w:sz w:val="24"/>
          <w:szCs w:val="24"/>
          <w:lang w:val="en-US"/>
        </w:rPr>
        <w:t xml:space="preserve"> </w:t>
      </w:r>
      <w:r w:rsidR="00DD08F4">
        <w:rPr>
          <w:rFonts w:ascii="Times New Roman" w:hAnsi="Times New Roman" w:cs="Times New Roman"/>
          <w:sz w:val="24"/>
          <w:szCs w:val="24"/>
          <w:lang w:val="en-US"/>
        </w:rPr>
        <w:t>For example</w:t>
      </w:r>
      <w:r w:rsidR="00DD08F4" w:rsidRPr="00DD08F4">
        <w:rPr>
          <w:rFonts w:ascii="Times New Roman" w:hAnsi="Times New Roman" w:cs="Times New Roman"/>
          <w:sz w:val="24"/>
          <w:szCs w:val="24"/>
          <w:lang w:val="en-US"/>
        </w:rPr>
        <w:t xml:space="preserve">, IKEA has </w:t>
      </w:r>
      <w:r w:rsidR="00DD08F4">
        <w:rPr>
          <w:rFonts w:ascii="Times New Roman" w:hAnsi="Times New Roman" w:cs="Times New Roman"/>
          <w:sz w:val="24"/>
          <w:szCs w:val="24"/>
          <w:lang w:val="en-US"/>
        </w:rPr>
        <w:t>been considered a supply chain sustainability leader</w:t>
      </w:r>
      <w:r w:rsidR="00DD08F4">
        <w:rPr>
          <w:rFonts w:ascii="Times New Roman" w:hAnsi="Times New Roman" w:cs="Times New Roman"/>
          <w:sz w:val="24"/>
          <w:szCs w:val="24"/>
          <w:lang w:val="en-US"/>
        </w:rPr>
        <w:t xml:space="preserve"> and a reference in responsible management</w:t>
      </w:r>
      <w:r w:rsidR="00DD08F4" w:rsidRPr="00DD08F4">
        <w:rPr>
          <w:rFonts w:ascii="Times New Roman" w:hAnsi="Times New Roman" w:cs="Times New Roman"/>
          <w:sz w:val="24"/>
          <w:szCs w:val="24"/>
          <w:lang w:val="en-US"/>
        </w:rPr>
        <w:t xml:space="preserve">. However, an investigation by London-based environmental group </w:t>
      </w:r>
      <w:proofErr w:type="spellStart"/>
      <w:r w:rsidR="00DD08F4" w:rsidRPr="00DD08F4">
        <w:rPr>
          <w:rFonts w:ascii="Times New Roman" w:hAnsi="Times New Roman" w:cs="Times New Roman"/>
          <w:sz w:val="24"/>
          <w:szCs w:val="24"/>
          <w:lang w:val="en-US"/>
        </w:rPr>
        <w:t>Earthsight</w:t>
      </w:r>
      <w:proofErr w:type="spellEnd"/>
      <w:r w:rsidR="00DD08F4" w:rsidRPr="00DD08F4">
        <w:rPr>
          <w:rFonts w:ascii="Times New Roman" w:hAnsi="Times New Roman" w:cs="Times New Roman"/>
          <w:sz w:val="24"/>
          <w:szCs w:val="24"/>
          <w:lang w:val="en-US"/>
        </w:rPr>
        <w:t xml:space="preserve"> found that I</w:t>
      </w:r>
      <w:r w:rsidR="005901C9">
        <w:rPr>
          <w:rFonts w:ascii="Times New Roman" w:hAnsi="Times New Roman" w:cs="Times New Roman"/>
          <w:sz w:val="24"/>
          <w:szCs w:val="24"/>
          <w:lang w:val="en-US"/>
        </w:rPr>
        <w:t>KEA</w:t>
      </w:r>
      <w:r w:rsidR="00DD08F4" w:rsidRPr="00DD08F4">
        <w:rPr>
          <w:rFonts w:ascii="Times New Roman" w:hAnsi="Times New Roman" w:cs="Times New Roman"/>
          <w:sz w:val="24"/>
          <w:szCs w:val="24"/>
          <w:lang w:val="en-US"/>
        </w:rPr>
        <w:t xml:space="preserve"> had likely been using illegally-obtained Russian wood in its children's furniture for years </w:t>
      </w:r>
      <w:r w:rsidR="00DD08F4" w:rsidRPr="001E12DD">
        <w:rPr>
          <w:rFonts w:ascii="Times New Roman" w:hAnsi="Times New Roman" w:cs="Times New Roman"/>
          <w:sz w:val="24"/>
          <w:szCs w:val="24"/>
          <w:lang w:val="en-US"/>
        </w:rPr>
        <w:t>(Business Insider, 2022)</w:t>
      </w:r>
      <w:r w:rsidR="00DD08F4" w:rsidRPr="001E12DD">
        <w:rPr>
          <w:rFonts w:ascii="Times New Roman" w:hAnsi="Times New Roman" w:cs="Times New Roman"/>
          <w:sz w:val="24"/>
          <w:szCs w:val="24"/>
          <w:lang w:val="en-US"/>
        </w:rPr>
        <w:t>,</w:t>
      </w:r>
      <w:r w:rsidR="00DD08F4">
        <w:rPr>
          <w:rFonts w:ascii="Times New Roman" w:hAnsi="Times New Roman" w:cs="Times New Roman"/>
          <w:sz w:val="24"/>
          <w:szCs w:val="24"/>
          <w:lang w:val="en-US"/>
        </w:rPr>
        <w:t xml:space="preserve"> which demonstrates a </w:t>
      </w:r>
      <w:r w:rsidR="00DD08F4">
        <w:rPr>
          <w:rFonts w:ascii="Times New Roman" w:hAnsi="Times New Roman" w:cs="Times New Roman"/>
          <w:sz w:val="24"/>
          <w:szCs w:val="24"/>
          <w:lang w:val="en-US"/>
        </w:rPr>
        <w:t>clear misalignment</w:t>
      </w:r>
      <w:r w:rsidR="00DD08F4">
        <w:rPr>
          <w:rFonts w:ascii="Times New Roman" w:hAnsi="Times New Roman" w:cs="Times New Roman"/>
          <w:sz w:val="24"/>
          <w:szCs w:val="24"/>
          <w:lang w:val="en-US"/>
        </w:rPr>
        <w:t xml:space="preserve"> between the firm sustainability policies and its suppliers’ practices</w:t>
      </w:r>
      <w:r w:rsidR="00DD08F4" w:rsidRPr="00DD08F4">
        <w:rPr>
          <w:rFonts w:ascii="Times New Roman" w:hAnsi="Times New Roman" w:cs="Times New Roman"/>
          <w:sz w:val="24"/>
          <w:szCs w:val="24"/>
          <w:lang w:val="en-US"/>
        </w:rPr>
        <w:t>.</w:t>
      </w:r>
      <w:r w:rsidR="00DD08F4">
        <w:rPr>
          <w:rFonts w:ascii="Times New Roman" w:hAnsi="Times New Roman" w:cs="Times New Roman"/>
          <w:sz w:val="24"/>
          <w:szCs w:val="24"/>
          <w:lang w:val="en-US"/>
        </w:rPr>
        <w:t xml:space="preserve"> </w:t>
      </w:r>
      <w:r w:rsidR="001451B8">
        <w:rPr>
          <w:rFonts w:ascii="Times New Roman" w:hAnsi="Times New Roman" w:cs="Times New Roman"/>
          <w:sz w:val="24"/>
          <w:szCs w:val="24"/>
          <w:lang w:val="en-US"/>
        </w:rPr>
        <w:t xml:space="preserve">This sort of asymmetry could have a negative effect in the financial and market performance of the </w:t>
      </w:r>
      <w:r w:rsidR="001451B8">
        <w:rPr>
          <w:rFonts w:ascii="Times New Roman" w:hAnsi="Times New Roman" w:cs="Times New Roman"/>
          <w:sz w:val="24"/>
          <w:szCs w:val="24"/>
          <w:lang w:val="en-US"/>
        </w:rPr>
        <w:t>IKEA</w:t>
      </w:r>
      <w:r w:rsidR="001451B8">
        <w:rPr>
          <w:rFonts w:ascii="Times New Roman" w:hAnsi="Times New Roman" w:cs="Times New Roman"/>
          <w:sz w:val="24"/>
          <w:szCs w:val="24"/>
          <w:lang w:val="en-US"/>
        </w:rPr>
        <w:t xml:space="preserve">, due to reduced sales </w:t>
      </w:r>
      <w:r w:rsidR="001451B8">
        <w:rPr>
          <w:rFonts w:ascii="Times New Roman" w:hAnsi="Times New Roman" w:cs="Times New Roman"/>
          <w:sz w:val="24"/>
          <w:szCs w:val="24"/>
          <w:lang w:val="en-US"/>
        </w:rPr>
        <w:t>and</w:t>
      </w:r>
      <w:r w:rsidR="001451B8">
        <w:rPr>
          <w:rFonts w:ascii="Times New Roman" w:hAnsi="Times New Roman" w:cs="Times New Roman"/>
          <w:sz w:val="24"/>
          <w:szCs w:val="24"/>
          <w:lang w:val="en-US"/>
        </w:rPr>
        <w:t xml:space="preserve"> </w:t>
      </w:r>
      <w:r w:rsidR="001451B8">
        <w:rPr>
          <w:rFonts w:ascii="Times New Roman" w:hAnsi="Times New Roman" w:cs="Times New Roman"/>
          <w:sz w:val="24"/>
          <w:szCs w:val="24"/>
          <w:lang w:val="en-US"/>
        </w:rPr>
        <w:t>negative impacts on reputation</w:t>
      </w:r>
      <w:r w:rsidR="005901C9">
        <w:rPr>
          <w:rFonts w:ascii="Times New Roman" w:hAnsi="Times New Roman" w:cs="Times New Roman"/>
          <w:sz w:val="24"/>
          <w:szCs w:val="24"/>
          <w:lang w:val="en-US"/>
        </w:rPr>
        <w:t xml:space="preserve"> and market value</w:t>
      </w:r>
      <w:r w:rsidR="001451B8">
        <w:rPr>
          <w:rFonts w:ascii="Times New Roman" w:hAnsi="Times New Roman" w:cs="Times New Roman"/>
          <w:sz w:val="24"/>
          <w:szCs w:val="24"/>
          <w:lang w:val="en-US"/>
        </w:rPr>
        <w:t>.</w:t>
      </w:r>
    </w:p>
    <w:p w14:paraId="50A1F8C6" w14:textId="1688D234" w:rsidR="001C4570" w:rsidRDefault="00DD08F4" w:rsidP="00EF0454">
      <w:pPr>
        <w:spacing w:line="480" w:lineRule="auto"/>
        <w:jc w:val="both"/>
        <w:rPr>
          <w:rFonts w:ascii="Times New Roman" w:hAnsi="Times New Roman" w:cs="Times New Roman"/>
          <w:sz w:val="24"/>
          <w:szCs w:val="24"/>
          <w:lang w:val="en-US"/>
        </w:rPr>
      </w:pPr>
      <w:r w:rsidRPr="00DD08F4">
        <w:rPr>
          <w:rFonts w:ascii="Times New Roman" w:hAnsi="Times New Roman" w:cs="Times New Roman"/>
          <w:sz w:val="24"/>
          <w:szCs w:val="24"/>
          <w:lang w:val="en-US"/>
        </w:rPr>
        <w:lastRenderedPageBreak/>
        <w:t>Cases where buyer firms with higher sustainability implementation levels are confronted with the non-</w:t>
      </w:r>
      <w:r w:rsidRPr="001E12DD">
        <w:rPr>
          <w:rFonts w:ascii="Times New Roman" w:hAnsi="Times New Roman" w:cs="Times New Roman"/>
          <w:sz w:val="24"/>
          <w:szCs w:val="24"/>
          <w:lang w:val="en-US"/>
        </w:rPr>
        <w:t xml:space="preserve">alignment of suppliers are well documented and numerous (e.g. </w:t>
      </w:r>
      <w:proofErr w:type="spellStart"/>
      <w:r w:rsidRPr="001E12DD">
        <w:rPr>
          <w:rFonts w:ascii="Times New Roman" w:hAnsi="Times New Roman" w:cs="Times New Roman"/>
          <w:sz w:val="24"/>
          <w:szCs w:val="24"/>
          <w:lang w:val="en-US"/>
        </w:rPr>
        <w:t>Villena</w:t>
      </w:r>
      <w:proofErr w:type="spellEnd"/>
      <w:r w:rsidRPr="001E12DD">
        <w:rPr>
          <w:rFonts w:ascii="Times New Roman" w:hAnsi="Times New Roman" w:cs="Times New Roman"/>
          <w:sz w:val="24"/>
          <w:szCs w:val="24"/>
          <w:lang w:val="en-US"/>
        </w:rPr>
        <w:t xml:space="preserve"> and </w:t>
      </w:r>
      <w:proofErr w:type="spellStart"/>
      <w:r w:rsidRPr="001E12DD">
        <w:rPr>
          <w:rFonts w:ascii="Times New Roman" w:hAnsi="Times New Roman" w:cs="Times New Roman"/>
          <w:sz w:val="24"/>
          <w:szCs w:val="24"/>
          <w:lang w:val="en-US"/>
        </w:rPr>
        <w:t>Gioia</w:t>
      </w:r>
      <w:proofErr w:type="spellEnd"/>
      <w:r w:rsidRPr="001E12DD">
        <w:rPr>
          <w:rFonts w:ascii="Times New Roman" w:hAnsi="Times New Roman" w:cs="Times New Roman"/>
          <w:sz w:val="24"/>
          <w:szCs w:val="24"/>
          <w:lang w:val="en-US"/>
        </w:rPr>
        <w:t>, 2021; Leon-Bravo et al, 2020;</w:t>
      </w:r>
      <w:r w:rsidRPr="00DD08F4">
        <w:rPr>
          <w:rFonts w:ascii="Times New Roman" w:hAnsi="Times New Roman" w:cs="Times New Roman"/>
          <w:sz w:val="24"/>
          <w:szCs w:val="24"/>
          <w:lang w:val="en-US"/>
        </w:rPr>
        <w:t xml:space="preserve"> </w:t>
      </w:r>
      <w:proofErr w:type="spellStart"/>
      <w:r w:rsidRPr="00DD08F4">
        <w:rPr>
          <w:rFonts w:ascii="Times New Roman" w:hAnsi="Times New Roman" w:cs="Times New Roman"/>
          <w:sz w:val="24"/>
          <w:szCs w:val="24"/>
          <w:lang w:val="en-US"/>
        </w:rPr>
        <w:t>Macchion</w:t>
      </w:r>
      <w:proofErr w:type="spellEnd"/>
      <w:r w:rsidRPr="00DD08F4">
        <w:rPr>
          <w:rFonts w:ascii="Times New Roman" w:hAnsi="Times New Roman" w:cs="Times New Roman"/>
          <w:sz w:val="24"/>
          <w:szCs w:val="24"/>
          <w:lang w:val="en-US"/>
        </w:rPr>
        <w:t xml:space="preserve"> et al, 2018). According to a recently published Barclays’s report, in the last 12 months, 21% of the UK’s largest retailers cancelled contracts with suppliers on the grounds that they failed to meet environmental, social and governance (ESG) standards </w:t>
      </w:r>
      <w:r w:rsidRPr="000D3608">
        <w:rPr>
          <w:rFonts w:ascii="Times New Roman" w:hAnsi="Times New Roman" w:cs="Times New Roman"/>
          <w:sz w:val="24"/>
          <w:szCs w:val="24"/>
          <w:highlight w:val="red"/>
          <w:lang w:val="en-US"/>
        </w:rPr>
        <w:t>(Barclays, 2022).</w:t>
      </w:r>
      <w:r w:rsidRPr="00DD08F4">
        <w:rPr>
          <w:rFonts w:ascii="Times New Roman" w:hAnsi="Times New Roman" w:cs="Times New Roman"/>
          <w:sz w:val="24"/>
          <w:szCs w:val="24"/>
          <w:lang w:val="en-US"/>
        </w:rPr>
        <w:t xml:space="preserve"> </w:t>
      </w:r>
      <w:r w:rsidRPr="00DD08F4">
        <w:rPr>
          <w:rFonts w:ascii="Times New Roman" w:hAnsi="Times New Roman" w:cs="Times New Roman"/>
          <w:sz w:val="24"/>
          <w:szCs w:val="24"/>
          <w:lang w:val="en-US"/>
        </w:rPr>
        <w:t xml:space="preserve">Although less discussed, suppliers might also have higher levels of sustainability than their customers (e.g., Nudie Jeans and Armed Angels are suppliers to the fast fashion retailer </w:t>
      </w:r>
      <w:proofErr w:type="spellStart"/>
      <w:r w:rsidRPr="00DD08F4">
        <w:rPr>
          <w:rFonts w:ascii="Times New Roman" w:hAnsi="Times New Roman" w:cs="Times New Roman"/>
          <w:sz w:val="24"/>
          <w:szCs w:val="24"/>
          <w:lang w:val="en-US"/>
        </w:rPr>
        <w:t>Zalando</w:t>
      </w:r>
      <w:proofErr w:type="spellEnd"/>
      <w:r w:rsidRPr="00DD08F4">
        <w:rPr>
          <w:rFonts w:ascii="Times New Roman" w:hAnsi="Times New Roman" w:cs="Times New Roman"/>
          <w:sz w:val="24"/>
          <w:szCs w:val="24"/>
          <w:lang w:val="en-US"/>
        </w:rPr>
        <w:t xml:space="preserve">).  </w:t>
      </w:r>
    </w:p>
    <w:p w14:paraId="361B090F" w14:textId="7C0FCF22" w:rsidR="00AE1CD1" w:rsidRDefault="00AE1CD1" w:rsidP="00EF045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main motivation for this study is </w:t>
      </w:r>
      <w:r w:rsidR="00454886">
        <w:rPr>
          <w:rFonts w:ascii="Times New Roman" w:hAnsi="Times New Roman" w:cs="Times New Roman"/>
          <w:sz w:val="24"/>
          <w:szCs w:val="24"/>
          <w:lang w:val="en-US"/>
        </w:rPr>
        <w:t xml:space="preserve">to </w:t>
      </w:r>
      <w:r w:rsidR="004D49CB">
        <w:rPr>
          <w:rFonts w:ascii="Times New Roman" w:hAnsi="Times New Roman" w:cs="Times New Roman"/>
          <w:sz w:val="24"/>
          <w:szCs w:val="24"/>
          <w:lang w:val="en-US"/>
        </w:rPr>
        <w:t xml:space="preserve">understand this apparent dichotomy between theory and practice – </w:t>
      </w:r>
      <w:r w:rsidR="00454886">
        <w:rPr>
          <w:rFonts w:ascii="Times New Roman" w:hAnsi="Times New Roman" w:cs="Times New Roman"/>
          <w:sz w:val="24"/>
          <w:szCs w:val="24"/>
          <w:lang w:val="en-US"/>
        </w:rPr>
        <w:t xml:space="preserve">i.e. </w:t>
      </w:r>
      <w:r w:rsidR="004D49CB">
        <w:rPr>
          <w:rFonts w:ascii="Times New Roman" w:hAnsi="Times New Roman" w:cs="Times New Roman"/>
          <w:sz w:val="24"/>
          <w:szCs w:val="24"/>
          <w:lang w:val="en-US"/>
        </w:rPr>
        <w:t xml:space="preserve">if buyer-supplier sustainability </w:t>
      </w:r>
      <w:r w:rsidR="004D49CB">
        <w:rPr>
          <w:rFonts w:ascii="Times New Roman" w:hAnsi="Times New Roman" w:cs="Times New Roman"/>
          <w:sz w:val="24"/>
          <w:szCs w:val="24"/>
          <w:lang w:val="en-US"/>
        </w:rPr>
        <w:t>alignment is</w:t>
      </w:r>
      <w:r w:rsidR="004D49CB">
        <w:rPr>
          <w:rFonts w:ascii="Times New Roman" w:hAnsi="Times New Roman" w:cs="Times New Roman"/>
          <w:sz w:val="24"/>
          <w:szCs w:val="24"/>
          <w:lang w:val="en-US"/>
        </w:rPr>
        <w:t xml:space="preserve"> </w:t>
      </w:r>
      <w:r w:rsidR="004D49CB">
        <w:rPr>
          <w:rFonts w:ascii="Times New Roman" w:hAnsi="Times New Roman" w:cs="Times New Roman"/>
          <w:sz w:val="24"/>
          <w:szCs w:val="24"/>
          <w:lang w:val="en-US"/>
        </w:rPr>
        <w:t>required for supply chains to be successful</w:t>
      </w:r>
      <w:r w:rsidR="004D49CB">
        <w:rPr>
          <w:rFonts w:ascii="Times New Roman" w:hAnsi="Times New Roman" w:cs="Times New Roman"/>
          <w:sz w:val="24"/>
          <w:szCs w:val="24"/>
          <w:lang w:val="en-US"/>
        </w:rPr>
        <w:t xml:space="preserve"> (according to the theory)</w:t>
      </w:r>
      <w:r w:rsidR="004D49CB">
        <w:rPr>
          <w:rFonts w:ascii="Times New Roman" w:hAnsi="Times New Roman" w:cs="Times New Roman"/>
          <w:sz w:val="24"/>
          <w:szCs w:val="24"/>
          <w:lang w:val="en-US"/>
        </w:rPr>
        <w:t xml:space="preserve">, </w:t>
      </w:r>
      <w:r w:rsidR="004D49CB">
        <w:rPr>
          <w:rFonts w:ascii="Times New Roman" w:hAnsi="Times New Roman" w:cs="Times New Roman"/>
          <w:sz w:val="24"/>
          <w:szCs w:val="24"/>
          <w:lang w:val="en-US"/>
        </w:rPr>
        <w:t xml:space="preserve">then firms should be financially penalized for not achieving this. However, given the frequency of cases where buyers and suppliers are not aligned in their sustainability initiatives, we expect this relationship </w:t>
      </w:r>
      <w:r w:rsidR="004D49CB">
        <w:rPr>
          <w:rFonts w:ascii="Times New Roman" w:hAnsi="Times New Roman" w:cs="Times New Roman"/>
          <w:sz w:val="24"/>
          <w:szCs w:val="24"/>
          <w:lang w:val="en-US"/>
        </w:rPr>
        <w:t xml:space="preserve">between buyer-supplier </w:t>
      </w:r>
      <w:r w:rsidR="004D49CB">
        <w:rPr>
          <w:rFonts w:ascii="Times New Roman" w:hAnsi="Times New Roman" w:cs="Times New Roman"/>
          <w:sz w:val="24"/>
          <w:szCs w:val="24"/>
          <w:lang w:val="en-US"/>
        </w:rPr>
        <w:t>asymmetry</w:t>
      </w:r>
      <w:r w:rsidR="004D49CB">
        <w:rPr>
          <w:rFonts w:ascii="Times New Roman" w:hAnsi="Times New Roman" w:cs="Times New Roman"/>
          <w:sz w:val="24"/>
          <w:szCs w:val="24"/>
          <w:lang w:val="en-US"/>
        </w:rPr>
        <w:t xml:space="preserve"> and </w:t>
      </w:r>
      <w:r w:rsidR="004D49CB">
        <w:rPr>
          <w:rFonts w:ascii="Times New Roman" w:hAnsi="Times New Roman" w:cs="Times New Roman"/>
          <w:sz w:val="24"/>
          <w:szCs w:val="24"/>
          <w:lang w:val="en-US"/>
        </w:rPr>
        <w:t xml:space="preserve">performance not to be so straightforward. </w:t>
      </w:r>
      <w:r w:rsidR="00454886">
        <w:rPr>
          <w:rFonts w:ascii="Times New Roman" w:hAnsi="Times New Roman" w:cs="Times New Roman"/>
          <w:sz w:val="24"/>
          <w:szCs w:val="24"/>
          <w:lang w:val="en-US"/>
        </w:rPr>
        <w:t xml:space="preserve">In this study, we aim at better </w:t>
      </w:r>
      <w:r w:rsidR="00454886">
        <w:rPr>
          <w:rFonts w:ascii="Times New Roman" w:hAnsi="Times New Roman" w:cs="Times New Roman"/>
          <w:sz w:val="24"/>
          <w:szCs w:val="24"/>
          <w:lang w:val="en-US"/>
        </w:rPr>
        <w:t>comprehending</w:t>
      </w:r>
      <w:r w:rsidR="00454886">
        <w:rPr>
          <w:rFonts w:ascii="Times New Roman" w:hAnsi="Times New Roman" w:cs="Times New Roman"/>
          <w:sz w:val="24"/>
          <w:szCs w:val="24"/>
          <w:lang w:val="en-US"/>
        </w:rPr>
        <w:t xml:space="preserve"> this </w:t>
      </w:r>
      <w:r w:rsidR="004D49CB">
        <w:rPr>
          <w:rFonts w:ascii="Times New Roman" w:hAnsi="Times New Roman" w:cs="Times New Roman"/>
          <w:sz w:val="24"/>
          <w:szCs w:val="24"/>
          <w:lang w:val="en-US"/>
        </w:rPr>
        <w:t>relationship</w:t>
      </w:r>
      <w:r w:rsidR="004D49CB">
        <w:rPr>
          <w:rFonts w:ascii="Times New Roman" w:hAnsi="Times New Roman" w:cs="Times New Roman"/>
          <w:sz w:val="24"/>
          <w:szCs w:val="24"/>
          <w:lang w:val="en-US"/>
        </w:rPr>
        <w:t>.</w:t>
      </w:r>
    </w:p>
    <w:p w14:paraId="280D5EA0" w14:textId="15C29C5B" w:rsidR="006D144F" w:rsidRDefault="00DD08F4" w:rsidP="00EF3D4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63FC1">
        <w:rPr>
          <w:rFonts w:ascii="Times New Roman" w:hAnsi="Times New Roman" w:cs="Times New Roman"/>
          <w:sz w:val="24"/>
          <w:szCs w:val="24"/>
          <w:lang w:val="en-US"/>
        </w:rPr>
        <w:t xml:space="preserve">he </w:t>
      </w:r>
      <w:r w:rsidR="006C4519">
        <w:rPr>
          <w:rFonts w:ascii="Times New Roman" w:hAnsi="Times New Roman" w:cs="Times New Roman"/>
          <w:sz w:val="24"/>
          <w:szCs w:val="24"/>
          <w:lang w:val="en-US"/>
        </w:rPr>
        <w:t xml:space="preserve">current </w:t>
      </w:r>
      <w:r w:rsidR="00B83130">
        <w:rPr>
          <w:rFonts w:ascii="Times New Roman" w:hAnsi="Times New Roman" w:cs="Times New Roman"/>
          <w:sz w:val="24"/>
          <w:szCs w:val="24"/>
          <w:lang w:val="en-US"/>
        </w:rPr>
        <w:t xml:space="preserve">knowledge </w:t>
      </w:r>
      <w:r w:rsidR="0032527D">
        <w:rPr>
          <w:rFonts w:ascii="Times New Roman" w:hAnsi="Times New Roman" w:cs="Times New Roman"/>
          <w:sz w:val="24"/>
          <w:szCs w:val="24"/>
          <w:lang w:val="en-US"/>
        </w:rPr>
        <w:t>on the</w:t>
      </w:r>
      <w:r w:rsidR="00B83130">
        <w:rPr>
          <w:rFonts w:ascii="Times New Roman" w:hAnsi="Times New Roman" w:cs="Times New Roman"/>
          <w:sz w:val="24"/>
          <w:szCs w:val="24"/>
          <w:lang w:val="en-US"/>
        </w:rPr>
        <w:t xml:space="preserve"> environmental and social asymmetries </w:t>
      </w:r>
      <w:r w:rsidR="00045529">
        <w:rPr>
          <w:rFonts w:ascii="Times New Roman" w:hAnsi="Times New Roman" w:cs="Times New Roman"/>
          <w:sz w:val="24"/>
          <w:szCs w:val="24"/>
          <w:lang w:val="en-US"/>
        </w:rPr>
        <w:t xml:space="preserve">between buyer and supplier firms </w:t>
      </w:r>
      <w:r w:rsidR="00E63FC1">
        <w:rPr>
          <w:rFonts w:ascii="Times New Roman" w:hAnsi="Times New Roman" w:cs="Times New Roman"/>
          <w:sz w:val="24"/>
          <w:szCs w:val="24"/>
          <w:lang w:val="en-US"/>
        </w:rPr>
        <w:t>and the</w:t>
      </w:r>
      <w:r w:rsidR="00355A4C">
        <w:rPr>
          <w:rFonts w:ascii="Times New Roman" w:hAnsi="Times New Roman" w:cs="Times New Roman"/>
          <w:sz w:val="24"/>
          <w:szCs w:val="24"/>
          <w:lang w:val="en-US"/>
        </w:rPr>
        <w:t xml:space="preserve"> assessments of their</w:t>
      </w:r>
      <w:r w:rsidR="00E63FC1">
        <w:rPr>
          <w:rFonts w:ascii="Times New Roman" w:hAnsi="Times New Roman" w:cs="Times New Roman"/>
          <w:sz w:val="24"/>
          <w:szCs w:val="24"/>
          <w:lang w:val="en-US"/>
        </w:rPr>
        <w:t xml:space="preserve"> impacts </w:t>
      </w:r>
      <w:r w:rsidR="00B83130">
        <w:rPr>
          <w:rFonts w:ascii="Times New Roman" w:hAnsi="Times New Roman" w:cs="Times New Roman"/>
          <w:sz w:val="24"/>
          <w:szCs w:val="24"/>
          <w:lang w:val="en-US"/>
        </w:rPr>
        <w:t xml:space="preserve">is </w:t>
      </w:r>
      <w:r w:rsidR="00E63FC1">
        <w:rPr>
          <w:rFonts w:ascii="Times New Roman" w:hAnsi="Times New Roman" w:cs="Times New Roman"/>
          <w:sz w:val="24"/>
          <w:szCs w:val="24"/>
          <w:lang w:val="en-US"/>
        </w:rPr>
        <w:t>still limited.</w:t>
      </w:r>
      <w:r w:rsidR="00DB24A3" w:rsidRPr="009266DE">
        <w:rPr>
          <w:rFonts w:ascii="Times New Roman" w:hAnsi="Times New Roman" w:cs="Times New Roman"/>
          <w:sz w:val="24"/>
          <w:szCs w:val="24"/>
          <w:lang w:val="en-US"/>
        </w:rPr>
        <w:t xml:space="preserve"> </w:t>
      </w:r>
      <w:r w:rsidR="006D144F">
        <w:rPr>
          <w:rFonts w:ascii="Times New Roman" w:hAnsi="Times New Roman" w:cs="Times New Roman"/>
          <w:sz w:val="24"/>
          <w:szCs w:val="24"/>
          <w:lang w:val="en-US"/>
        </w:rPr>
        <w:t xml:space="preserve">Despite the anecdotal evidences coming from scandals such as the palm oil for Nestlé and the Rana Plaza disaster </w:t>
      </w:r>
      <w:r w:rsidR="006D144F" w:rsidRPr="007A6E4B">
        <w:rPr>
          <w:rFonts w:ascii="Times New Roman" w:hAnsi="Times New Roman" w:cs="Times New Roman"/>
          <w:sz w:val="24"/>
          <w:lang w:val="en-US"/>
        </w:rPr>
        <w:t>(</w:t>
      </w:r>
      <w:proofErr w:type="spellStart"/>
      <w:r w:rsidR="006D144F" w:rsidRPr="007A6E4B">
        <w:rPr>
          <w:rFonts w:ascii="Times New Roman" w:hAnsi="Times New Roman" w:cs="Times New Roman"/>
          <w:sz w:val="24"/>
          <w:lang w:val="en-US"/>
        </w:rPr>
        <w:t>Szekely</w:t>
      </w:r>
      <w:proofErr w:type="spellEnd"/>
      <w:r w:rsidR="006D144F" w:rsidRPr="007A6E4B">
        <w:rPr>
          <w:rFonts w:ascii="Times New Roman" w:hAnsi="Times New Roman" w:cs="Times New Roman"/>
          <w:sz w:val="24"/>
          <w:lang w:val="en-US"/>
        </w:rPr>
        <w:t xml:space="preserve"> and </w:t>
      </w:r>
      <w:proofErr w:type="spellStart"/>
      <w:r w:rsidR="006D144F" w:rsidRPr="007A6E4B">
        <w:rPr>
          <w:rFonts w:ascii="Times New Roman" w:hAnsi="Times New Roman" w:cs="Times New Roman"/>
          <w:sz w:val="24"/>
          <w:lang w:val="en-US"/>
        </w:rPr>
        <w:t>Dossa</w:t>
      </w:r>
      <w:proofErr w:type="spellEnd"/>
      <w:r w:rsidR="006D144F" w:rsidRPr="007A6E4B">
        <w:rPr>
          <w:rFonts w:ascii="Times New Roman" w:hAnsi="Times New Roman" w:cs="Times New Roman"/>
          <w:sz w:val="24"/>
          <w:lang w:val="en-US"/>
        </w:rPr>
        <w:t>, 2017)</w:t>
      </w:r>
      <w:r w:rsidR="006D144F">
        <w:rPr>
          <w:rFonts w:ascii="Times New Roman" w:hAnsi="Times New Roman" w:cs="Times New Roman"/>
          <w:sz w:val="24"/>
          <w:szCs w:val="24"/>
          <w:lang w:val="en-US"/>
        </w:rPr>
        <w:t>, there are very few empirical</w:t>
      </w:r>
      <w:r w:rsidR="00EF3D4D">
        <w:rPr>
          <w:rFonts w:ascii="Times New Roman" w:hAnsi="Times New Roman" w:cs="Times New Roman"/>
          <w:sz w:val="24"/>
          <w:szCs w:val="24"/>
          <w:lang w:val="en-US"/>
        </w:rPr>
        <w:t>, rigorous</w:t>
      </w:r>
      <w:r w:rsidR="006D144F">
        <w:rPr>
          <w:rFonts w:ascii="Times New Roman" w:hAnsi="Times New Roman" w:cs="Times New Roman"/>
          <w:sz w:val="24"/>
          <w:szCs w:val="24"/>
          <w:lang w:val="en-US"/>
        </w:rPr>
        <w:t xml:space="preserve"> studies that analyze </w:t>
      </w:r>
      <w:r w:rsidR="006D144F" w:rsidRPr="008A7AE2">
        <w:rPr>
          <w:rFonts w:ascii="Times New Roman" w:hAnsi="Times New Roman" w:cs="Times New Roman"/>
          <w:sz w:val="24"/>
          <w:szCs w:val="24"/>
          <w:lang w:val="en-US"/>
        </w:rPr>
        <w:t xml:space="preserve">to what extent the </w:t>
      </w:r>
      <w:r w:rsidR="006D144F">
        <w:rPr>
          <w:rFonts w:ascii="Times New Roman" w:hAnsi="Times New Roman" w:cs="Times New Roman"/>
          <w:sz w:val="24"/>
          <w:szCs w:val="24"/>
          <w:lang w:val="en-US"/>
        </w:rPr>
        <w:t>existence</w:t>
      </w:r>
      <w:r w:rsidR="006D144F" w:rsidRPr="008A7AE2">
        <w:rPr>
          <w:rFonts w:ascii="Times New Roman" w:hAnsi="Times New Roman" w:cs="Times New Roman"/>
          <w:sz w:val="24"/>
          <w:szCs w:val="24"/>
          <w:lang w:val="en-US"/>
        </w:rPr>
        <w:t xml:space="preserve"> of buyer-supplier sustainability asymmetries </w:t>
      </w:r>
      <w:r w:rsidR="006D144F">
        <w:rPr>
          <w:rFonts w:ascii="Times New Roman" w:hAnsi="Times New Roman" w:cs="Times New Roman"/>
          <w:sz w:val="24"/>
          <w:szCs w:val="24"/>
          <w:lang w:val="en-US"/>
        </w:rPr>
        <w:t>affects</w:t>
      </w:r>
      <w:r w:rsidR="006D144F" w:rsidRPr="008A7AE2">
        <w:rPr>
          <w:rFonts w:ascii="Times New Roman" w:hAnsi="Times New Roman" w:cs="Times New Roman"/>
          <w:sz w:val="24"/>
          <w:szCs w:val="24"/>
          <w:lang w:val="en-US"/>
        </w:rPr>
        <w:t xml:space="preserve"> the buyer</w:t>
      </w:r>
      <w:r w:rsidR="006D144F">
        <w:rPr>
          <w:rFonts w:ascii="Times New Roman" w:hAnsi="Times New Roman" w:cs="Times New Roman"/>
          <w:sz w:val="24"/>
          <w:szCs w:val="24"/>
          <w:lang w:val="en-US"/>
        </w:rPr>
        <w:t>’s</w:t>
      </w:r>
      <w:r w:rsidR="006D144F" w:rsidRPr="008A7AE2">
        <w:rPr>
          <w:rFonts w:ascii="Times New Roman" w:hAnsi="Times New Roman" w:cs="Times New Roman"/>
          <w:sz w:val="24"/>
          <w:szCs w:val="24"/>
          <w:lang w:val="en-US"/>
        </w:rPr>
        <w:t xml:space="preserve"> financial </w:t>
      </w:r>
      <w:r w:rsidR="006D144F">
        <w:rPr>
          <w:rFonts w:ascii="Times New Roman" w:hAnsi="Times New Roman" w:cs="Times New Roman"/>
          <w:sz w:val="24"/>
          <w:szCs w:val="24"/>
          <w:lang w:val="en-US"/>
        </w:rPr>
        <w:t xml:space="preserve">and market </w:t>
      </w:r>
      <w:r w:rsidR="006D144F" w:rsidRPr="008A7AE2">
        <w:rPr>
          <w:rFonts w:ascii="Times New Roman" w:hAnsi="Times New Roman" w:cs="Times New Roman"/>
          <w:sz w:val="24"/>
          <w:szCs w:val="24"/>
          <w:lang w:val="en-US"/>
        </w:rPr>
        <w:t>performance.</w:t>
      </w:r>
      <w:r w:rsidR="006D144F">
        <w:rPr>
          <w:rFonts w:ascii="Times New Roman" w:hAnsi="Times New Roman" w:cs="Times New Roman"/>
          <w:sz w:val="24"/>
          <w:szCs w:val="24"/>
          <w:lang w:val="en-US"/>
        </w:rPr>
        <w:t xml:space="preserve"> An exception is </w:t>
      </w:r>
      <w:proofErr w:type="spellStart"/>
      <w:r w:rsidR="006D144F">
        <w:rPr>
          <w:rFonts w:ascii="Times New Roman" w:hAnsi="Times New Roman" w:cs="Times New Roman"/>
          <w:sz w:val="24"/>
          <w:szCs w:val="24"/>
          <w:lang w:val="en-US"/>
        </w:rPr>
        <w:t>Blome</w:t>
      </w:r>
      <w:proofErr w:type="spellEnd"/>
      <w:r w:rsidR="006D144F">
        <w:rPr>
          <w:rFonts w:ascii="Times New Roman" w:hAnsi="Times New Roman" w:cs="Times New Roman"/>
          <w:sz w:val="24"/>
          <w:szCs w:val="24"/>
          <w:lang w:val="en-US"/>
        </w:rPr>
        <w:t xml:space="preserve"> et al. (2014), who </w:t>
      </w:r>
      <w:r w:rsidR="006D144F" w:rsidRPr="001C534F">
        <w:rPr>
          <w:rFonts w:ascii="Times New Roman" w:hAnsi="Times New Roman" w:cs="Times New Roman"/>
          <w:sz w:val="24"/>
          <w:szCs w:val="24"/>
          <w:lang w:val="en-US"/>
        </w:rPr>
        <w:t>analyze the deviation from an optimal profile of</w:t>
      </w:r>
      <w:r w:rsidR="006D144F">
        <w:rPr>
          <w:rFonts w:ascii="Times New Roman" w:hAnsi="Times New Roman" w:cs="Times New Roman"/>
          <w:sz w:val="24"/>
          <w:szCs w:val="24"/>
          <w:lang w:val="en-US"/>
        </w:rPr>
        <w:t xml:space="preserve"> </w:t>
      </w:r>
      <w:r w:rsidR="006D144F" w:rsidRPr="001C534F">
        <w:rPr>
          <w:rFonts w:ascii="Times New Roman" w:hAnsi="Times New Roman" w:cs="Times New Roman"/>
          <w:sz w:val="24"/>
          <w:szCs w:val="24"/>
          <w:lang w:val="en-US"/>
        </w:rPr>
        <w:t>supply chain collaboration and its detrimental effect on sustainability as well as market performance.</w:t>
      </w:r>
      <w:r w:rsidR="006D144F">
        <w:rPr>
          <w:rFonts w:ascii="Times New Roman" w:hAnsi="Times New Roman" w:cs="Times New Roman"/>
          <w:sz w:val="24"/>
          <w:szCs w:val="24"/>
          <w:lang w:val="en-US"/>
        </w:rPr>
        <w:t xml:space="preserve"> </w:t>
      </w:r>
      <w:r w:rsidR="006D144F" w:rsidRPr="001C534F">
        <w:rPr>
          <w:rFonts w:ascii="Times New Roman" w:hAnsi="Times New Roman" w:cs="Times New Roman"/>
          <w:sz w:val="24"/>
          <w:szCs w:val="24"/>
          <w:lang w:val="en-US"/>
        </w:rPr>
        <w:t>Using data collected from 259 European manufacturing firms and advanced structural equation</w:t>
      </w:r>
      <w:r w:rsidR="006D144F">
        <w:rPr>
          <w:rFonts w:ascii="Times New Roman" w:hAnsi="Times New Roman" w:cs="Times New Roman"/>
          <w:sz w:val="24"/>
          <w:szCs w:val="24"/>
          <w:lang w:val="en-US"/>
        </w:rPr>
        <w:t xml:space="preserve"> </w:t>
      </w:r>
      <w:r w:rsidR="006D144F" w:rsidRPr="001C534F">
        <w:rPr>
          <w:rFonts w:ascii="Times New Roman" w:hAnsi="Times New Roman" w:cs="Times New Roman"/>
          <w:sz w:val="24"/>
          <w:szCs w:val="24"/>
          <w:lang w:val="en-US"/>
        </w:rPr>
        <w:t xml:space="preserve">modeling approach, </w:t>
      </w:r>
      <w:r w:rsidR="006D144F">
        <w:rPr>
          <w:rFonts w:ascii="Times New Roman" w:hAnsi="Times New Roman" w:cs="Times New Roman"/>
          <w:sz w:val="24"/>
          <w:szCs w:val="24"/>
          <w:lang w:val="en-US"/>
        </w:rPr>
        <w:t xml:space="preserve">the </w:t>
      </w:r>
      <w:r w:rsidR="006D144F" w:rsidRPr="001C534F">
        <w:rPr>
          <w:rFonts w:ascii="Times New Roman" w:hAnsi="Times New Roman" w:cs="Times New Roman"/>
          <w:sz w:val="24"/>
          <w:szCs w:val="24"/>
          <w:lang w:val="en-US"/>
        </w:rPr>
        <w:t xml:space="preserve">study shows that an alignment between supply chain initiatives does pay </w:t>
      </w:r>
      <w:r w:rsidR="006D144F" w:rsidRPr="001C534F">
        <w:rPr>
          <w:rFonts w:ascii="Times New Roman" w:hAnsi="Times New Roman" w:cs="Times New Roman"/>
          <w:sz w:val="24"/>
          <w:szCs w:val="24"/>
          <w:lang w:val="en-US"/>
        </w:rPr>
        <w:lastRenderedPageBreak/>
        <w:t>off.</w:t>
      </w:r>
      <w:r w:rsidR="006D144F">
        <w:rPr>
          <w:rFonts w:ascii="Times New Roman" w:hAnsi="Times New Roman" w:cs="Times New Roman"/>
          <w:sz w:val="24"/>
          <w:szCs w:val="24"/>
          <w:lang w:val="en-US"/>
        </w:rPr>
        <w:t xml:space="preserve"> However, this study relies on indirect measures (i.e. based on supply chain collaboration), and does not measure directly buyer-supplier asymmetry level, or the direction of such asymmetry. Similarly, </w:t>
      </w:r>
      <w:proofErr w:type="spellStart"/>
      <w:r w:rsidR="006D144F">
        <w:rPr>
          <w:rFonts w:ascii="Times New Roman" w:hAnsi="Times New Roman" w:cs="Times New Roman"/>
          <w:sz w:val="24"/>
          <w:szCs w:val="24"/>
          <w:lang w:val="en-US"/>
        </w:rPr>
        <w:t>Frempong</w:t>
      </w:r>
      <w:proofErr w:type="spellEnd"/>
      <w:r w:rsidR="006D144F">
        <w:rPr>
          <w:rFonts w:ascii="Times New Roman" w:hAnsi="Times New Roman" w:cs="Times New Roman"/>
          <w:sz w:val="24"/>
          <w:szCs w:val="24"/>
          <w:lang w:val="en-US"/>
        </w:rPr>
        <w:t xml:space="preserve"> et al. (2021)</w:t>
      </w:r>
      <w:r w:rsidR="006D144F" w:rsidRPr="009266DE">
        <w:rPr>
          <w:lang w:val="en-US"/>
        </w:rPr>
        <w:t xml:space="preserve"> </w:t>
      </w:r>
      <w:r w:rsidR="006D144F" w:rsidRPr="00F777AB">
        <w:rPr>
          <w:rFonts w:ascii="Times New Roman" w:hAnsi="Times New Roman" w:cs="Times New Roman"/>
          <w:sz w:val="24"/>
          <w:szCs w:val="24"/>
          <w:lang w:val="en-US"/>
        </w:rPr>
        <w:t>examine</w:t>
      </w:r>
      <w:r w:rsidR="006D144F">
        <w:rPr>
          <w:rFonts w:ascii="Times New Roman" w:hAnsi="Times New Roman" w:cs="Times New Roman"/>
          <w:sz w:val="24"/>
          <w:szCs w:val="24"/>
          <w:lang w:val="en-US"/>
        </w:rPr>
        <w:t>s</w:t>
      </w:r>
      <w:r w:rsidR="006D144F" w:rsidRPr="00F777AB">
        <w:rPr>
          <w:rFonts w:ascii="Times New Roman" w:hAnsi="Times New Roman" w:cs="Times New Roman"/>
          <w:sz w:val="24"/>
          <w:szCs w:val="24"/>
          <w:lang w:val="en-US"/>
        </w:rPr>
        <w:t xml:space="preserve"> the impact of sustainability-oriented supplier partnership </w:t>
      </w:r>
      <w:r w:rsidR="006D144F">
        <w:rPr>
          <w:rFonts w:ascii="Times New Roman" w:hAnsi="Times New Roman" w:cs="Times New Roman"/>
          <w:sz w:val="24"/>
          <w:szCs w:val="24"/>
          <w:lang w:val="en-US"/>
        </w:rPr>
        <w:t xml:space="preserve">on firm performance, but their independent variable </w:t>
      </w:r>
      <w:r w:rsidR="00EF3D4D">
        <w:rPr>
          <w:rFonts w:ascii="Times New Roman" w:hAnsi="Times New Roman" w:cs="Times New Roman"/>
          <w:sz w:val="24"/>
          <w:szCs w:val="24"/>
          <w:lang w:val="en-US"/>
        </w:rPr>
        <w:t xml:space="preserve">is essentially </w:t>
      </w:r>
      <w:r w:rsidR="006D144F">
        <w:rPr>
          <w:rFonts w:ascii="Times New Roman" w:hAnsi="Times New Roman" w:cs="Times New Roman"/>
          <w:sz w:val="24"/>
          <w:szCs w:val="24"/>
          <w:lang w:val="en-US"/>
        </w:rPr>
        <w:t xml:space="preserve">a supply chain collaboration measure (rather than asymmetry). Finally, Hao et al. (2022) </w:t>
      </w:r>
      <w:r w:rsidR="006D144F" w:rsidRPr="00C2691B">
        <w:rPr>
          <w:rFonts w:ascii="Times New Roman" w:hAnsi="Times New Roman" w:cs="Times New Roman"/>
          <w:sz w:val="24"/>
          <w:szCs w:val="24"/>
          <w:lang w:val="en-US"/>
        </w:rPr>
        <w:t xml:space="preserve">investigates how the configuration of a supplier’s sustainable operations practices affects a buyer’s </w:t>
      </w:r>
      <w:r w:rsidR="006D144F">
        <w:rPr>
          <w:rFonts w:ascii="Times New Roman" w:hAnsi="Times New Roman" w:cs="Times New Roman"/>
          <w:sz w:val="24"/>
          <w:szCs w:val="24"/>
          <w:lang w:val="en-US"/>
        </w:rPr>
        <w:t>operational and financial</w:t>
      </w:r>
      <w:r w:rsidR="006D144F" w:rsidRPr="00C2691B">
        <w:rPr>
          <w:rFonts w:ascii="Times New Roman" w:hAnsi="Times New Roman" w:cs="Times New Roman"/>
          <w:sz w:val="24"/>
          <w:szCs w:val="24"/>
          <w:lang w:val="en-US"/>
        </w:rPr>
        <w:t xml:space="preserve"> performance</w:t>
      </w:r>
      <w:r w:rsidR="006D144F">
        <w:rPr>
          <w:rFonts w:ascii="Times New Roman" w:hAnsi="Times New Roman" w:cs="Times New Roman"/>
          <w:sz w:val="24"/>
          <w:szCs w:val="24"/>
          <w:lang w:val="en-US"/>
        </w:rPr>
        <w:t xml:space="preserve">. However, they do not analyze it jointly with the buyer characteristics. </w:t>
      </w:r>
      <w:r w:rsidR="00EF3D4D">
        <w:rPr>
          <w:rFonts w:ascii="Times New Roman" w:hAnsi="Times New Roman" w:cs="Times New Roman"/>
          <w:sz w:val="24"/>
          <w:szCs w:val="24"/>
          <w:lang w:val="en-US"/>
        </w:rPr>
        <w:t>Therefore, literature on buyer-supplier sustainability asymmetries lacks systematic studies that identify to what extent they affect firm performance.</w:t>
      </w:r>
    </w:p>
    <w:p w14:paraId="4C53EB6C" w14:textId="045C8B67" w:rsidR="00BC5B64" w:rsidRDefault="00BC5B64" w:rsidP="00EF045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in this study, we pose the following research questions: </w:t>
      </w:r>
    </w:p>
    <w:p w14:paraId="1286E07D" w14:textId="1C6A5969" w:rsidR="00BC5B64" w:rsidRDefault="00BC5B64" w:rsidP="00EF0454">
      <w:p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RQ1: </w:t>
      </w:r>
      <w:r w:rsidRPr="009266DE">
        <w:rPr>
          <w:rFonts w:ascii="Times New Roman" w:hAnsi="Times New Roman" w:cs="Times New Roman"/>
          <w:i/>
          <w:sz w:val="24"/>
          <w:szCs w:val="24"/>
          <w:lang w:val="en-US"/>
        </w:rPr>
        <w:t xml:space="preserve">What is the effect of buyer-supplier </w:t>
      </w:r>
      <w:r w:rsidRPr="009266DE">
        <w:rPr>
          <w:rFonts w:ascii="Times New Roman" w:hAnsi="Times New Roman" w:cs="Times New Roman"/>
          <w:i/>
          <w:sz w:val="24"/>
          <w:szCs w:val="24"/>
          <w:lang w:val="en-US"/>
        </w:rPr>
        <w:t>sustainability</w:t>
      </w:r>
      <w:r w:rsidRPr="009266DE">
        <w:rPr>
          <w:rFonts w:ascii="Times New Roman" w:hAnsi="Times New Roman" w:cs="Times New Roman"/>
          <w:i/>
          <w:sz w:val="24"/>
          <w:szCs w:val="24"/>
          <w:lang w:val="en-US"/>
        </w:rPr>
        <w:t xml:space="preserve"> </w:t>
      </w:r>
      <w:r w:rsidRPr="009266DE">
        <w:rPr>
          <w:rFonts w:ascii="Times New Roman" w:hAnsi="Times New Roman" w:cs="Times New Roman"/>
          <w:i/>
          <w:sz w:val="24"/>
          <w:szCs w:val="24"/>
          <w:lang w:val="en-US"/>
        </w:rPr>
        <w:t xml:space="preserve">asymmetries on financial and market performance? </w:t>
      </w:r>
    </w:p>
    <w:p w14:paraId="49559DE4" w14:textId="018036EB" w:rsidR="00BC5B64" w:rsidRDefault="00BC5B64" w:rsidP="00EF0454">
      <w:p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RQ2: Does it matter who is leading the sustainability initiatives (</w:t>
      </w:r>
      <w:r w:rsidR="00E815D1">
        <w:rPr>
          <w:rFonts w:ascii="Times New Roman" w:hAnsi="Times New Roman" w:cs="Times New Roman"/>
          <w:i/>
          <w:sz w:val="24"/>
          <w:szCs w:val="24"/>
          <w:lang w:val="en-US"/>
        </w:rPr>
        <w:t xml:space="preserve">i.e. </w:t>
      </w:r>
      <w:r>
        <w:rPr>
          <w:rFonts w:ascii="Times New Roman" w:hAnsi="Times New Roman" w:cs="Times New Roman"/>
          <w:i/>
          <w:sz w:val="24"/>
          <w:szCs w:val="24"/>
          <w:lang w:val="en-US"/>
        </w:rPr>
        <w:t xml:space="preserve">buyer or supplier)? </w:t>
      </w:r>
    </w:p>
    <w:p w14:paraId="6EA4D048" w14:textId="3C19379C" w:rsidR="00BC5B64" w:rsidRPr="009266DE" w:rsidRDefault="00BC5B64" w:rsidP="00EF0454">
      <w:p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RQ3:</w:t>
      </w:r>
      <w:r w:rsidR="004D49CB">
        <w:rPr>
          <w:rFonts w:ascii="Times New Roman" w:hAnsi="Times New Roman" w:cs="Times New Roman"/>
          <w:i/>
          <w:sz w:val="24"/>
          <w:szCs w:val="24"/>
          <w:lang w:val="en-US"/>
        </w:rPr>
        <w:t xml:space="preserve"> </w:t>
      </w:r>
      <w:r w:rsidRPr="009266DE">
        <w:rPr>
          <w:rFonts w:ascii="Times New Roman" w:hAnsi="Times New Roman" w:cs="Times New Roman"/>
          <w:i/>
          <w:sz w:val="24"/>
          <w:szCs w:val="24"/>
          <w:lang w:val="en-US"/>
        </w:rPr>
        <w:t>Does this effect depend on the dimension of sustainability?</w:t>
      </w:r>
    </w:p>
    <w:p w14:paraId="70C9221D" w14:textId="4B75410F" w:rsidR="00286677" w:rsidRDefault="004D49CB" w:rsidP="00EF045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Our main</w:t>
      </w:r>
      <w:r w:rsidR="00BC5B64">
        <w:rPr>
          <w:rFonts w:ascii="Times New Roman" w:hAnsi="Times New Roman" w:cs="Times New Roman"/>
          <w:sz w:val="24"/>
          <w:szCs w:val="24"/>
          <w:lang w:val="en-US"/>
        </w:rPr>
        <w:t xml:space="preserve"> research objective is to </w:t>
      </w:r>
      <w:r w:rsidR="00AE1CD1">
        <w:rPr>
          <w:rFonts w:ascii="Times New Roman" w:hAnsi="Times New Roman" w:cs="Times New Roman"/>
          <w:sz w:val="24"/>
          <w:szCs w:val="24"/>
          <w:lang w:val="en-US"/>
        </w:rPr>
        <w:t>answer these questions</w:t>
      </w:r>
      <w:r w:rsidR="00286677">
        <w:rPr>
          <w:rFonts w:ascii="Times New Roman" w:hAnsi="Times New Roman" w:cs="Times New Roman"/>
          <w:sz w:val="24"/>
          <w:szCs w:val="24"/>
          <w:lang w:val="en-US"/>
        </w:rPr>
        <w:t xml:space="preserve"> </w:t>
      </w:r>
      <w:r w:rsidR="00AE1CD1">
        <w:rPr>
          <w:rFonts w:ascii="Times New Roman" w:hAnsi="Times New Roman" w:cs="Times New Roman"/>
          <w:sz w:val="24"/>
          <w:szCs w:val="24"/>
          <w:lang w:val="en-US"/>
        </w:rPr>
        <w:t xml:space="preserve">by </w:t>
      </w:r>
      <w:r w:rsidR="00AE1CD1">
        <w:rPr>
          <w:rFonts w:ascii="Times New Roman" w:hAnsi="Times New Roman" w:cs="Times New Roman"/>
          <w:sz w:val="24"/>
          <w:szCs w:val="24"/>
          <w:lang w:val="en-US"/>
        </w:rPr>
        <w:t>analyzing empirical data</w:t>
      </w:r>
      <w:r w:rsidR="00286677">
        <w:rPr>
          <w:rFonts w:ascii="Times New Roman" w:hAnsi="Times New Roman" w:cs="Times New Roman"/>
          <w:sz w:val="24"/>
          <w:szCs w:val="24"/>
          <w:lang w:val="en-US"/>
        </w:rPr>
        <w:t xml:space="preserve"> on </w:t>
      </w:r>
      <w:r w:rsidR="00AE1CD1">
        <w:rPr>
          <w:rFonts w:ascii="Times New Roman" w:hAnsi="Times New Roman" w:cs="Times New Roman"/>
          <w:sz w:val="24"/>
          <w:szCs w:val="24"/>
          <w:lang w:val="en-US"/>
        </w:rPr>
        <w:t>buy</w:t>
      </w:r>
      <w:r w:rsidR="00286677">
        <w:rPr>
          <w:rFonts w:ascii="Times New Roman" w:hAnsi="Times New Roman" w:cs="Times New Roman"/>
          <w:sz w:val="24"/>
          <w:szCs w:val="24"/>
          <w:lang w:val="en-US"/>
        </w:rPr>
        <w:t>er-supplier asymmetries in several dimensi</w:t>
      </w:r>
      <w:r w:rsidR="00286677">
        <w:rPr>
          <w:rFonts w:ascii="Times New Roman" w:hAnsi="Times New Roman" w:cs="Times New Roman"/>
          <w:sz w:val="24"/>
          <w:szCs w:val="24"/>
          <w:lang w:val="en-US"/>
        </w:rPr>
        <w:t>ons</w:t>
      </w:r>
      <w:r w:rsidR="00286677">
        <w:rPr>
          <w:rFonts w:ascii="Times New Roman" w:hAnsi="Times New Roman" w:cs="Times New Roman"/>
          <w:sz w:val="24"/>
          <w:szCs w:val="24"/>
          <w:lang w:val="en-US"/>
        </w:rPr>
        <w:t xml:space="preserve"> of sustainability</w:t>
      </w:r>
      <w:r w:rsidR="00286677">
        <w:rPr>
          <w:rFonts w:ascii="Times New Roman" w:hAnsi="Times New Roman" w:cs="Times New Roman"/>
          <w:sz w:val="24"/>
          <w:szCs w:val="24"/>
          <w:lang w:val="en-US"/>
        </w:rPr>
        <w:t xml:space="preserve">, </w:t>
      </w:r>
      <w:r w:rsidR="00286677">
        <w:rPr>
          <w:rFonts w:ascii="Times New Roman" w:hAnsi="Times New Roman" w:cs="Times New Roman"/>
          <w:sz w:val="24"/>
          <w:szCs w:val="24"/>
          <w:lang w:val="en-US"/>
        </w:rPr>
        <w:t xml:space="preserve">combining this with data on </w:t>
      </w:r>
      <w:proofErr w:type="gramStart"/>
      <w:r w:rsidR="00286677">
        <w:rPr>
          <w:rFonts w:ascii="Times New Roman" w:hAnsi="Times New Roman" w:cs="Times New Roman"/>
          <w:sz w:val="24"/>
          <w:szCs w:val="24"/>
          <w:lang w:val="en-US"/>
        </w:rPr>
        <w:t>buyers</w:t>
      </w:r>
      <w:proofErr w:type="gramEnd"/>
      <w:r w:rsidR="00286677">
        <w:rPr>
          <w:rFonts w:ascii="Times New Roman" w:hAnsi="Times New Roman" w:cs="Times New Roman"/>
          <w:sz w:val="24"/>
          <w:szCs w:val="24"/>
          <w:lang w:val="en-US"/>
        </w:rPr>
        <w:t xml:space="preserve"> financial performance.</w:t>
      </w:r>
      <w:r w:rsidR="00B1009D">
        <w:rPr>
          <w:rFonts w:ascii="Times New Roman" w:hAnsi="Times New Roman" w:cs="Times New Roman"/>
          <w:sz w:val="24"/>
          <w:szCs w:val="24"/>
          <w:lang w:val="en-US"/>
        </w:rPr>
        <w:t xml:space="preserve"> </w:t>
      </w:r>
    </w:p>
    <w:p w14:paraId="210504BE" w14:textId="309A1207" w:rsidR="00F25FFE" w:rsidRDefault="006D144F">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w:t>
      </w:r>
      <w:r>
        <w:rPr>
          <w:rFonts w:ascii="Times New Roman" w:hAnsi="Times New Roman" w:cs="Times New Roman"/>
          <w:sz w:val="24"/>
          <w:szCs w:val="24"/>
          <w:lang w:val="en-US"/>
        </w:rPr>
        <w:t>achieve our research objectives, w</w:t>
      </w:r>
      <w:r w:rsidR="002D3F60">
        <w:rPr>
          <w:rFonts w:ascii="Times New Roman" w:hAnsi="Times New Roman" w:cs="Times New Roman"/>
          <w:sz w:val="24"/>
          <w:szCs w:val="24"/>
          <w:lang w:val="en-US"/>
        </w:rPr>
        <w:t xml:space="preserve">e build </w:t>
      </w:r>
      <w:r>
        <w:rPr>
          <w:rFonts w:ascii="Times New Roman" w:hAnsi="Times New Roman" w:cs="Times New Roman"/>
          <w:sz w:val="24"/>
          <w:szCs w:val="24"/>
          <w:lang w:val="en-US"/>
        </w:rPr>
        <w:t>a</w:t>
      </w:r>
      <w:r w:rsidR="002D3F60">
        <w:rPr>
          <w:rFonts w:ascii="Times New Roman" w:hAnsi="Times New Roman" w:cs="Times New Roman"/>
          <w:sz w:val="24"/>
          <w:szCs w:val="24"/>
          <w:lang w:val="en-US"/>
        </w:rPr>
        <w:t xml:space="preserve"> dataset</w:t>
      </w:r>
      <w:r w:rsidR="002D3F60">
        <w:rPr>
          <w:rFonts w:ascii="Times New Roman" w:hAnsi="Times New Roman" w:cs="Times New Roman"/>
          <w:sz w:val="24"/>
          <w:szCs w:val="24"/>
          <w:lang w:val="en-US"/>
        </w:rPr>
        <w:t xml:space="preserve"> by combining several databases (</w:t>
      </w:r>
      <w:proofErr w:type="spellStart"/>
      <w:r w:rsidR="002D3F60" w:rsidRPr="002D3F60">
        <w:rPr>
          <w:rFonts w:ascii="Times New Roman" w:hAnsi="Times New Roman" w:cs="Times New Roman"/>
          <w:sz w:val="24"/>
          <w:szCs w:val="24"/>
          <w:lang w:val="en-US"/>
        </w:rPr>
        <w:t>Refinitiv</w:t>
      </w:r>
      <w:proofErr w:type="spellEnd"/>
      <w:r w:rsidR="002D3F60" w:rsidRPr="002D3F60">
        <w:rPr>
          <w:rFonts w:ascii="Times New Roman" w:hAnsi="Times New Roman" w:cs="Times New Roman"/>
          <w:sz w:val="24"/>
          <w:szCs w:val="24"/>
          <w:lang w:val="en-US"/>
        </w:rPr>
        <w:t xml:space="preserve"> Eikon, Standard and </w:t>
      </w:r>
      <w:r w:rsidR="002D3F60">
        <w:rPr>
          <w:rFonts w:ascii="Times New Roman" w:hAnsi="Times New Roman" w:cs="Times New Roman"/>
          <w:sz w:val="24"/>
          <w:szCs w:val="24"/>
          <w:lang w:val="en-US"/>
        </w:rPr>
        <w:t xml:space="preserve">Poor’s </w:t>
      </w:r>
      <w:proofErr w:type="spellStart"/>
      <w:r w:rsidR="002D3F60">
        <w:rPr>
          <w:rFonts w:ascii="Times New Roman" w:hAnsi="Times New Roman" w:cs="Times New Roman"/>
          <w:sz w:val="24"/>
          <w:szCs w:val="24"/>
          <w:lang w:val="en-US"/>
        </w:rPr>
        <w:t>Compustat</w:t>
      </w:r>
      <w:proofErr w:type="spellEnd"/>
      <w:r w:rsidR="002D3F60">
        <w:rPr>
          <w:rFonts w:ascii="Times New Roman" w:hAnsi="Times New Roman" w:cs="Times New Roman"/>
          <w:sz w:val="24"/>
          <w:szCs w:val="24"/>
          <w:lang w:val="en-US"/>
        </w:rPr>
        <w:t>, and Bloomberg</w:t>
      </w:r>
      <w:r w:rsidR="002D3F60" w:rsidRPr="002D3F60">
        <w:rPr>
          <w:rFonts w:ascii="Times New Roman" w:hAnsi="Times New Roman" w:cs="Times New Roman"/>
          <w:sz w:val="24"/>
          <w:szCs w:val="24"/>
          <w:lang w:val="en-US"/>
        </w:rPr>
        <w:t>)</w:t>
      </w:r>
      <w:r w:rsidR="002D3F60">
        <w:rPr>
          <w:rFonts w:ascii="Times New Roman" w:hAnsi="Times New Roman" w:cs="Times New Roman"/>
          <w:sz w:val="24"/>
          <w:szCs w:val="24"/>
          <w:lang w:val="en-US"/>
        </w:rPr>
        <w:t xml:space="preserve">, focusing in </w:t>
      </w:r>
      <w:r w:rsidR="002D3F60">
        <w:rPr>
          <w:rFonts w:ascii="Times New Roman" w:hAnsi="Times New Roman" w:cs="Times New Roman"/>
          <w:sz w:val="24"/>
          <w:szCs w:val="24"/>
          <w:lang w:val="en-US"/>
        </w:rPr>
        <w:t xml:space="preserve">“sensitive” sectors. </w:t>
      </w:r>
      <w:r w:rsidR="002D3F60">
        <w:rPr>
          <w:rFonts w:ascii="Times New Roman" w:hAnsi="Times New Roman" w:cs="Times New Roman"/>
          <w:sz w:val="24"/>
          <w:szCs w:val="24"/>
          <w:lang w:val="en-US"/>
        </w:rPr>
        <w:t>S</w:t>
      </w:r>
      <w:r w:rsidR="00740C7E">
        <w:rPr>
          <w:rFonts w:ascii="Times New Roman" w:hAnsi="Times New Roman" w:cs="Times New Roman"/>
          <w:sz w:val="24"/>
          <w:szCs w:val="24"/>
          <w:lang w:val="en-US"/>
        </w:rPr>
        <w:t>everal</w:t>
      </w:r>
      <w:r w:rsidR="00F25FFE">
        <w:rPr>
          <w:rFonts w:ascii="Times New Roman" w:hAnsi="Times New Roman" w:cs="Times New Roman"/>
          <w:sz w:val="24"/>
          <w:szCs w:val="24"/>
          <w:lang w:val="en-US"/>
        </w:rPr>
        <w:t xml:space="preserve"> scandals have raised the societal </w:t>
      </w:r>
      <w:r w:rsidR="00E42920">
        <w:rPr>
          <w:rFonts w:ascii="Times New Roman" w:hAnsi="Times New Roman" w:cs="Times New Roman"/>
          <w:sz w:val="24"/>
          <w:szCs w:val="24"/>
          <w:lang w:val="en-US"/>
        </w:rPr>
        <w:t>awareness</w:t>
      </w:r>
      <w:r w:rsidR="00F25FFE">
        <w:rPr>
          <w:rFonts w:ascii="Times New Roman" w:hAnsi="Times New Roman" w:cs="Times New Roman"/>
          <w:sz w:val="24"/>
          <w:szCs w:val="24"/>
          <w:lang w:val="en-US"/>
        </w:rPr>
        <w:t xml:space="preserve"> to </w:t>
      </w:r>
      <w:r w:rsidR="00C91C12">
        <w:rPr>
          <w:rFonts w:ascii="Times New Roman" w:hAnsi="Times New Roman" w:cs="Times New Roman"/>
          <w:sz w:val="24"/>
          <w:szCs w:val="24"/>
          <w:lang w:val="en-US"/>
        </w:rPr>
        <w:t>supplier practices</w:t>
      </w:r>
      <w:r w:rsidR="00F25FFE">
        <w:rPr>
          <w:rFonts w:ascii="Times New Roman" w:hAnsi="Times New Roman" w:cs="Times New Roman"/>
          <w:sz w:val="24"/>
          <w:szCs w:val="24"/>
          <w:lang w:val="en-US"/>
        </w:rPr>
        <w:t xml:space="preserve">, </w:t>
      </w:r>
      <w:r w:rsidR="008D50E2">
        <w:rPr>
          <w:rFonts w:ascii="Times New Roman" w:hAnsi="Times New Roman" w:cs="Times New Roman"/>
          <w:sz w:val="24"/>
          <w:szCs w:val="24"/>
          <w:lang w:val="en-US"/>
        </w:rPr>
        <w:t xml:space="preserve">lowering the </w:t>
      </w:r>
      <w:r w:rsidR="009E1D54">
        <w:rPr>
          <w:rFonts w:ascii="Times New Roman" w:hAnsi="Times New Roman" w:cs="Times New Roman"/>
          <w:sz w:val="24"/>
          <w:szCs w:val="24"/>
          <w:lang w:val="en-US"/>
        </w:rPr>
        <w:t xml:space="preserve">tolerance for </w:t>
      </w:r>
      <w:r w:rsidR="003815FB">
        <w:rPr>
          <w:rFonts w:ascii="Times New Roman" w:hAnsi="Times New Roman" w:cs="Times New Roman"/>
          <w:sz w:val="24"/>
          <w:szCs w:val="24"/>
          <w:lang w:val="en-US"/>
        </w:rPr>
        <w:t>irresponsible behaviors</w:t>
      </w:r>
      <w:r w:rsidR="00C91C12">
        <w:rPr>
          <w:rFonts w:ascii="Times New Roman" w:hAnsi="Times New Roman" w:cs="Times New Roman"/>
          <w:sz w:val="24"/>
          <w:szCs w:val="24"/>
          <w:lang w:val="en-US"/>
        </w:rPr>
        <w:t xml:space="preserve">, especially in sensitive </w:t>
      </w:r>
      <w:r w:rsidR="0038032E">
        <w:rPr>
          <w:rFonts w:ascii="Times New Roman" w:hAnsi="Times New Roman" w:cs="Times New Roman"/>
          <w:sz w:val="24"/>
          <w:szCs w:val="24"/>
          <w:lang w:val="en-US"/>
        </w:rPr>
        <w:t>industries</w:t>
      </w:r>
      <w:r w:rsidR="003815FB">
        <w:rPr>
          <w:rFonts w:ascii="Times New Roman" w:hAnsi="Times New Roman" w:cs="Times New Roman"/>
          <w:sz w:val="24"/>
          <w:szCs w:val="24"/>
          <w:lang w:val="en-US"/>
        </w:rPr>
        <w:t xml:space="preserve">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Riera</w:t>
      </w:r>
      <w:proofErr w:type="spellEnd"/>
      <w:r w:rsidR="00F3370E" w:rsidRPr="007A6E4B">
        <w:rPr>
          <w:rFonts w:ascii="Times New Roman" w:hAnsi="Times New Roman" w:cs="Times New Roman"/>
          <w:sz w:val="24"/>
          <w:lang w:val="en-US"/>
        </w:rPr>
        <w:t xml:space="preserve"> and </w:t>
      </w:r>
      <w:proofErr w:type="spellStart"/>
      <w:r w:rsidR="00F3370E" w:rsidRPr="007A6E4B">
        <w:rPr>
          <w:rFonts w:ascii="Times New Roman" w:hAnsi="Times New Roman" w:cs="Times New Roman"/>
          <w:sz w:val="24"/>
          <w:lang w:val="en-US"/>
        </w:rPr>
        <w:t>Iborra</w:t>
      </w:r>
      <w:proofErr w:type="spellEnd"/>
      <w:r w:rsidR="00F3370E" w:rsidRPr="007A6E4B">
        <w:rPr>
          <w:rFonts w:ascii="Times New Roman" w:hAnsi="Times New Roman" w:cs="Times New Roman"/>
          <w:sz w:val="24"/>
          <w:lang w:val="en-US"/>
        </w:rPr>
        <w:t>, 2017)</w:t>
      </w:r>
      <w:r w:rsidR="00F25FFE">
        <w:rPr>
          <w:rFonts w:ascii="Times New Roman" w:hAnsi="Times New Roman" w:cs="Times New Roman"/>
          <w:sz w:val="24"/>
          <w:szCs w:val="24"/>
          <w:lang w:val="en-US"/>
        </w:rPr>
        <w:t>.</w:t>
      </w:r>
      <w:r w:rsidR="0064537C" w:rsidRPr="009266DE">
        <w:rPr>
          <w:lang w:val="en-US"/>
        </w:rPr>
        <w:t xml:space="preserve"> </w:t>
      </w:r>
      <w:r w:rsidR="00E142AD" w:rsidRPr="009266DE">
        <w:rPr>
          <w:rFonts w:ascii="Times New Roman" w:hAnsi="Times New Roman" w:cs="Times New Roman"/>
          <w:sz w:val="24"/>
          <w:szCs w:val="24"/>
          <w:lang w:val="en-US"/>
        </w:rPr>
        <w:t>We consider “sensitive” as industries which are “</w:t>
      </w:r>
      <w:r w:rsidR="00E142AD" w:rsidRPr="00E142AD">
        <w:rPr>
          <w:rFonts w:ascii="Times New Roman" w:hAnsi="Times New Roman" w:cs="Times New Roman"/>
          <w:sz w:val="24"/>
          <w:szCs w:val="24"/>
          <w:lang w:val="en-US"/>
        </w:rPr>
        <w:t>under increased scrutiny and regulatory pressure</w:t>
      </w:r>
      <w:r w:rsidR="00E142AD" w:rsidRPr="009266DE">
        <w:rPr>
          <w:rFonts w:ascii="Times New Roman" w:hAnsi="Times New Roman" w:cs="Times New Roman"/>
          <w:sz w:val="24"/>
          <w:szCs w:val="24"/>
          <w:lang w:val="en-US"/>
        </w:rPr>
        <w:t>”</w:t>
      </w:r>
      <w:r w:rsidR="00E142AD">
        <w:rPr>
          <w:rFonts w:ascii="Times New Roman" w:hAnsi="Times New Roman" w:cs="Times New Roman"/>
          <w:sz w:val="24"/>
          <w:szCs w:val="24"/>
          <w:lang w:val="en-US"/>
        </w:rPr>
        <w:t>, e.g.</w:t>
      </w:r>
      <w:r w:rsidR="00E142AD" w:rsidRPr="009266DE">
        <w:rPr>
          <w:lang w:val="en-US"/>
        </w:rPr>
        <w:t xml:space="preserve"> </w:t>
      </w:r>
      <w:r w:rsidR="00E142AD" w:rsidRPr="00E142AD">
        <w:rPr>
          <w:rFonts w:ascii="Times New Roman" w:hAnsi="Times New Roman" w:cs="Times New Roman"/>
          <w:sz w:val="24"/>
          <w:szCs w:val="24"/>
          <w:lang w:val="en-US"/>
        </w:rPr>
        <w:t xml:space="preserve">mining, oil exploration, paper, </w:t>
      </w:r>
      <w:r w:rsidR="00E142AD" w:rsidRPr="00E142AD">
        <w:rPr>
          <w:rFonts w:ascii="Times New Roman" w:hAnsi="Times New Roman" w:cs="Times New Roman"/>
          <w:sz w:val="24"/>
          <w:szCs w:val="24"/>
          <w:lang w:val="en-US"/>
        </w:rPr>
        <w:lastRenderedPageBreak/>
        <w:t xml:space="preserve">chemical and allied products, petroleum refining, metals or utilities </w:t>
      </w:r>
      <w:r w:rsidR="00E142AD" w:rsidRPr="009266DE">
        <w:rPr>
          <w:rFonts w:ascii="Times New Roman" w:hAnsi="Times New Roman" w:cs="Times New Roman"/>
          <w:sz w:val="24"/>
          <w:szCs w:val="24"/>
          <w:lang w:val="en-US"/>
        </w:rPr>
        <w:t>(</w:t>
      </w:r>
      <w:r w:rsidR="00E142AD">
        <w:rPr>
          <w:rFonts w:ascii="Times New Roman" w:hAnsi="Times New Roman" w:cs="Times New Roman"/>
          <w:sz w:val="24"/>
          <w:szCs w:val="24"/>
          <w:lang w:val="en-US"/>
        </w:rPr>
        <w:t>Garcia-</w:t>
      </w:r>
      <w:proofErr w:type="spellStart"/>
      <w:r w:rsidR="00E142AD">
        <w:rPr>
          <w:rFonts w:ascii="Times New Roman" w:hAnsi="Times New Roman" w:cs="Times New Roman"/>
          <w:sz w:val="24"/>
          <w:szCs w:val="24"/>
          <w:lang w:val="en-US"/>
        </w:rPr>
        <w:t>Meca</w:t>
      </w:r>
      <w:proofErr w:type="spellEnd"/>
      <w:r w:rsidR="00E142AD">
        <w:rPr>
          <w:rFonts w:ascii="Times New Roman" w:hAnsi="Times New Roman" w:cs="Times New Roman"/>
          <w:sz w:val="24"/>
          <w:szCs w:val="24"/>
          <w:lang w:val="en-US"/>
        </w:rPr>
        <w:t xml:space="preserve"> and Martinez-Ferrero, 2021). </w:t>
      </w:r>
      <w:r w:rsidR="00E142AD" w:rsidRPr="009266DE">
        <w:rPr>
          <w:rFonts w:ascii="Times New Roman" w:hAnsi="Times New Roman" w:cs="Times New Roman"/>
          <w:sz w:val="24"/>
          <w:szCs w:val="24"/>
          <w:lang w:val="en-US"/>
        </w:rPr>
        <w:t xml:space="preserve"> </w:t>
      </w:r>
      <w:r w:rsidR="00E142AD">
        <w:rPr>
          <w:rFonts w:ascii="Times New Roman" w:hAnsi="Times New Roman" w:cs="Times New Roman"/>
          <w:sz w:val="24"/>
          <w:szCs w:val="24"/>
          <w:lang w:val="en-US"/>
        </w:rPr>
        <w:t>In particular, o</w:t>
      </w:r>
      <w:r w:rsidR="004F4BFA" w:rsidRPr="004F4BFA">
        <w:rPr>
          <w:rFonts w:ascii="Times New Roman" w:hAnsi="Times New Roman" w:cs="Times New Roman"/>
          <w:sz w:val="24"/>
          <w:szCs w:val="24"/>
          <w:lang w:val="en-US"/>
        </w:rPr>
        <w:t>ur sample consists of firms with headquarters in the United States that belong to environmental/social sensitive sectors (identified by the U.S. Small Business Administration or Responsible Business Alliance)</w:t>
      </w:r>
      <w:r w:rsidR="004F4BFA">
        <w:rPr>
          <w:rFonts w:ascii="Times New Roman" w:hAnsi="Times New Roman" w:cs="Times New Roman"/>
          <w:sz w:val="24"/>
          <w:szCs w:val="24"/>
          <w:lang w:val="en-US"/>
        </w:rPr>
        <w:t>.</w:t>
      </w:r>
      <w:r w:rsidR="004F4BFA" w:rsidRPr="004F4BFA">
        <w:rPr>
          <w:rFonts w:ascii="Times New Roman" w:hAnsi="Times New Roman" w:cs="Times New Roman"/>
          <w:sz w:val="24"/>
          <w:szCs w:val="24"/>
          <w:lang w:val="en-US"/>
        </w:rPr>
        <w:t xml:space="preserve"> </w:t>
      </w:r>
    </w:p>
    <w:p w14:paraId="5893B52E" w14:textId="6C4142BF" w:rsidR="00B83130" w:rsidRDefault="002D3F60">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study, w</w:t>
      </w:r>
      <w:r w:rsidR="00E906B7" w:rsidRPr="00873B4D">
        <w:rPr>
          <w:rFonts w:ascii="Times New Roman" w:hAnsi="Times New Roman" w:cs="Times New Roman"/>
          <w:sz w:val="24"/>
          <w:szCs w:val="24"/>
          <w:lang w:val="en-US"/>
        </w:rPr>
        <w:t xml:space="preserve">e draw </w:t>
      </w:r>
      <w:r w:rsidR="00E906B7">
        <w:rPr>
          <w:rFonts w:ascii="Times New Roman" w:hAnsi="Times New Roman" w:cs="Times New Roman"/>
          <w:sz w:val="24"/>
          <w:szCs w:val="24"/>
          <w:lang w:val="en-US"/>
        </w:rPr>
        <w:t>on</w:t>
      </w:r>
      <w:r w:rsidR="00E906B7" w:rsidRPr="00873B4D">
        <w:rPr>
          <w:rFonts w:ascii="Times New Roman" w:hAnsi="Times New Roman" w:cs="Times New Roman"/>
          <w:sz w:val="24"/>
          <w:szCs w:val="24"/>
          <w:lang w:val="en-US"/>
        </w:rPr>
        <w:t xml:space="preserve"> legitimacy theory</w:t>
      </w:r>
      <w:r w:rsidR="006A6D1F">
        <w:rPr>
          <w:rFonts w:ascii="Times New Roman" w:hAnsi="Times New Roman" w:cs="Times New Roman"/>
          <w:sz w:val="24"/>
          <w:szCs w:val="24"/>
          <w:lang w:val="en-US"/>
        </w:rPr>
        <w:t>,</w:t>
      </w:r>
      <w:r w:rsidR="00E906B7" w:rsidRPr="00873B4D">
        <w:rPr>
          <w:rFonts w:ascii="Times New Roman" w:hAnsi="Times New Roman" w:cs="Times New Roman"/>
          <w:sz w:val="24"/>
          <w:szCs w:val="24"/>
          <w:lang w:val="en-US"/>
        </w:rPr>
        <w:t xml:space="preserve"> </w:t>
      </w:r>
      <w:r w:rsidR="006A6D1F">
        <w:rPr>
          <w:rFonts w:ascii="Times New Roman" w:hAnsi="Times New Roman" w:cs="Times New Roman"/>
          <w:sz w:val="24"/>
          <w:szCs w:val="24"/>
          <w:lang w:val="en-US"/>
        </w:rPr>
        <w:t xml:space="preserve">which </w:t>
      </w:r>
      <w:r w:rsidR="00E906B7" w:rsidRPr="00873B4D">
        <w:rPr>
          <w:rFonts w:ascii="Times New Roman" w:hAnsi="Times New Roman" w:cs="Times New Roman"/>
          <w:sz w:val="24"/>
          <w:szCs w:val="24"/>
          <w:lang w:val="en-US"/>
        </w:rPr>
        <w:t xml:space="preserve">posits that the survival of an organization will depend not only on market </w:t>
      </w:r>
      <w:r w:rsidR="00FD5092">
        <w:rPr>
          <w:rFonts w:ascii="Times New Roman" w:hAnsi="Times New Roman" w:cs="Times New Roman"/>
          <w:sz w:val="24"/>
          <w:szCs w:val="24"/>
          <w:lang w:val="en-US"/>
        </w:rPr>
        <w:t>forces</w:t>
      </w:r>
      <w:r w:rsidR="006A6D1F">
        <w:rPr>
          <w:rFonts w:ascii="Times New Roman" w:hAnsi="Times New Roman" w:cs="Times New Roman"/>
          <w:sz w:val="24"/>
          <w:szCs w:val="24"/>
          <w:lang w:val="en-US"/>
        </w:rPr>
        <w:t>,</w:t>
      </w:r>
      <w:r w:rsidR="00E906B7" w:rsidRPr="00873B4D">
        <w:rPr>
          <w:rFonts w:ascii="Times New Roman" w:hAnsi="Times New Roman" w:cs="Times New Roman"/>
          <w:sz w:val="24"/>
          <w:szCs w:val="24"/>
          <w:lang w:val="en-US"/>
        </w:rPr>
        <w:t xml:space="preserve"> but also on the fulfillment of social </w:t>
      </w:r>
      <w:r w:rsidR="00E906B7" w:rsidRPr="00E057FE">
        <w:rPr>
          <w:rFonts w:ascii="Times New Roman" w:hAnsi="Times New Roman" w:cs="Times New Roman"/>
          <w:sz w:val="24"/>
          <w:szCs w:val="24"/>
          <w:lang w:val="en-US"/>
        </w:rPr>
        <w:t xml:space="preserve">expectations </w:t>
      </w:r>
      <w:r w:rsidR="00F3370E" w:rsidRPr="00E057FE">
        <w:rPr>
          <w:rFonts w:ascii="Times New Roman" w:hAnsi="Times New Roman" w:cs="Times New Roman"/>
          <w:sz w:val="24"/>
          <w:lang w:val="en-US"/>
        </w:rPr>
        <w:t>(Meyer and Rowan, 1977</w:t>
      </w:r>
      <w:r w:rsidR="00F3370E" w:rsidRPr="00F566C0">
        <w:rPr>
          <w:rFonts w:ascii="Times New Roman" w:hAnsi="Times New Roman" w:cs="Times New Roman"/>
          <w:sz w:val="24"/>
          <w:lang w:val="en-US"/>
        </w:rPr>
        <w:t>)</w:t>
      </w:r>
      <w:r w:rsidR="00E906B7" w:rsidRPr="00F566C0">
        <w:rPr>
          <w:rFonts w:ascii="Times New Roman" w:hAnsi="Times New Roman" w:cs="Times New Roman"/>
          <w:sz w:val="24"/>
          <w:szCs w:val="24"/>
          <w:lang w:val="en-US"/>
        </w:rPr>
        <w:t xml:space="preserve">. </w:t>
      </w:r>
      <w:r w:rsidR="00411FDA" w:rsidRPr="00F566C0">
        <w:rPr>
          <w:rFonts w:ascii="Times New Roman" w:hAnsi="Times New Roman" w:cs="Times New Roman"/>
          <w:sz w:val="24"/>
          <w:szCs w:val="24"/>
          <w:lang w:val="en-US"/>
        </w:rPr>
        <w:t>However</w:t>
      </w:r>
      <w:r w:rsidR="00411FDA" w:rsidRPr="0027371C">
        <w:rPr>
          <w:rFonts w:ascii="Times New Roman" w:hAnsi="Times New Roman" w:cs="Times New Roman"/>
          <w:sz w:val="24"/>
          <w:szCs w:val="24"/>
          <w:lang w:val="en-US"/>
        </w:rPr>
        <w:t xml:space="preserve">, </w:t>
      </w:r>
      <w:r w:rsidR="0027371C" w:rsidRPr="00042EC0">
        <w:rPr>
          <w:rFonts w:ascii="Times New Roman" w:hAnsi="Times New Roman" w:cs="Times New Roman"/>
          <w:sz w:val="24"/>
          <w:szCs w:val="24"/>
          <w:lang w:val="en-US"/>
        </w:rPr>
        <w:t>stakeholders</w:t>
      </w:r>
      <w:r w:rsidR="0027371C" w:rsidRPr="0027371C">
        <w:rPr>
          <w:rFonts w:ascii="Times New Roman" w:hAnsi="Times New Roman" w:cs="Times New Roman"/>
          <w:sz w:val="24"/>
          <w:szCs w:val="24"/>
          <w:lang w:val="en-US"/>
        </w:rPr>
        <w:t xml:space="preserve"> may demand different </w:t>
      </w:r>
      <w:r w:rsidR="00BA704E">
        <w:rPr>
          <w:rFonts w:ascii="Times New Roman" w:hAnsi="Times New Roman" w:cs="Times New Roman"/>
          <w:sz w:val="24"/>
          <w:szCs w:val="24"/>
          <w:lang w:val="en-US"/>
        </w:rPr>
        <w:t>developments</w:t>
      </w:r>
      <w:r w:rsidR="0027371C" w:rsidRPr="0027371C">
        <w:rPr>
          <w:rFonts w:ascii="Times New Roman" w:hAnsi="Times New Roman" w:cs="Times New Roman"/>
          <w:sz w:val="24"/>
          <w:szCs w:val="24"/>
          <w:lang w:val="en-US"/>
        </w:rPr>
        <w:t xml:space="preserve"> of sustainability for </w:t>
      </w:r>
      <w:r w:rsidR="00BA704E">
        <w:rPr>
          <w:rFonts w:ascii="Times New Roman" w:hAnsi="Times New Roman" w:cs="Times New Roman"/>
          <w:sz w:val="24"/>
          <w:szCs w:val="24"/>
          <w:lang w:val="en-US"/>
        </w:rPr>
        <w:t>distinct</w:t>
      </w:r>
      <w:r w:rsidR="0027371C" w:rsidRPr="0027371C">
        <w:rPr>
          <w:rFonts w:ascii="Times New Roman" w:hAnsi="Times New Roman" w:cs="Times New Roman"/>
          <w:sz w:val="24"/>
          <w:szCs w:val="24"/>
          <w:lang w:val="en-US"/>
        </w:rPr>
        <w:t xml:space="preserve"> firms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Villena</w:t>
      </w:r>
      <w:proofErr w:type="spellEnd"/>
      <w:r w:rsidR="00F3370E" w:rsidRPr="007A6E4B">
        <w:rPr>
          <w:rFonts w:ascii="Times New Roman" w:hAnsi="Times New Roman" w:cs="Times New Roman"/>
          <w:sz w:val="24"/>
          <w:lang w:val="en-US"/>
        </w:rPr>
        <w:t xml:space="preserve"> et al., 2021)</w:t>
      </w:r>
      <w:r w:rsidR="0027371C">
        <w:rPr>
          <w:rFonts w:ascii="Times New Roman" w:hAnsi="Times New Roman" w:cs="Times New Roman"/>
          <w:sz w:val="24"/>
          <w:szCs w:val="24"/>
          <w:lang w:val="en-US"/>
        </w:rPr>
        <w:t xml:space="preserve">. Thus, </w:t>
      </w:r>
      <w:r w:rsidR="00314EE7">
        <w:rPr>
          <w:rFonts w:ascii="Times New Roman" w:hAnsi="Times New Roman" w:cs="Times New Roman"/>
          <w:sz w:val="24"/>
          <w:szCs w:val="24"/>
          <w:lang w:val="en-US"/>
        </w:rPr>
        <w:t xml:space="preserve">the presence of sustainability asymmetries can lead to mixed outcomes. Furthermore, we defend that when buyers </w:t>
      </w:r>
      <w:r w:rsidR="007C7C26">
        <w:rPr>
          <w:rFonts w:ascii="Times New Roman" w:hAnsi="Times New Roman" w:cs="Times New Roman"/>
          <w:sz w:val="24"/>
          <w:szCs w:val="24"/>
          <w:lang w:val="en-US"/>
        </w:rPr>
        <w:t>in sensitive industries lag</w:t>
      </w:r>
      <w:r w:rsidR="003F4749">
        <w:rPr>
          <w:rFonts w:ascii="Times New Roman" w:hAnsi="Times New Roman" w:cs="Times New Roman"/>
          <w:sz w:val="24"/>
          <w:szCs w:val="24"/>
          <w:lang w:val="en-US"/>
        </w:rPr>
        <w:t xml:space="preserve"> behind suppliers</w:t>
      </w:r>
      <w:r w:rsidR="00CA5309">
        <w:rPr>
          <w:rFonts w:ascii="Times New Roman" w:hAnsi="Times New Roman" w:cs="Times New Roman"/>
          <w:sz w:val="24"/>
          <w:szCs w:val="24"/>
          <w:lang w:val="en-US"/>
        </w:rPr>
        <w:t>’</w:t>
      </w:r>
      <w:r w:rsidR="00411FDA">
        <w:rPr>
          <w:rFonts w:ascii="Times New Roman" w:hAnsi="Times New Roman" w:cs="Times New Roman"/>
          <w:sz w:val="24"/>
          <w:szCs w:val="24"/>
          <w:lang w:val="en-US"/>
        </w:rPr>
        <w:t xml:space="preserve"> </w:t>
      </w:r>
      <w:r w:rsidR="00CA1DF5">
        <w:rPr>
          <w:rFonts w:ascii="Times New Roman" w:hAnsi="Times New Roman" w:cs="Times New Roman"/>
          <w:sz w:val="24"/>
          <w:szCs w:val="24"/>
          <w:lang w:val="en-US"/>
        </w:rPr>
        <w:t xml:space="preserve">developments in </w:t>
      </w:r>
      <w:r w:rsidR="00CA5309">
        <w:rPr>
          <w:rFonts w:ascii="Times New Roman" w:hAnsi="Times New Roman" w:cs="Times New Roman"/>
          <w:sz w:val="24"/>
          <w:szCs w:val="24"/>
          <w:lang w:val="en-US"/>
        </w:rPr>
        <w:t>sustainability</w:t>
      </w:r>
      <w:r w:rsidR="00CA1DF5">
        <w:rPr>
          <w:rFonts w:ascii="Times New Roman" w:hAnsi="Times New Roman" w:cs="Times New Roman"/>
          <w:sz w:val="24"/>
          <w:szCs w:val="24"/>
          <w:lang w:val="en-US"/>
        </w:rPr>
        <w:t xml:space="preserve"> areas</w:t>
      </w:r>
      <w:r w:rsidR="00314EE7">
        <w:rPr>
          <w:rFonts w:ascii="Times New Roman" w:hAnsi="Times New Roman" w:cs="Times New Roman"/>
          <w:sz w:val="24"/>
          <w:szCs w:val="24"/>
          <w:lang w:val="en-US"/>
        </w:rPr>
        <w:t xml:space="preserve">, the </w:t>
      </w:r>
      <w:r w:rsidR="007C7C26">
        <w:rPr>
          <w:rFonts w:ascii="Times New Roman" w:hAnsi="Times New Roman" w:cs="Times New Roman"/>
          <w:sz w:val="24"/>
          <w:szCs w:val="24"/>
          <w:lang w:val="en-US"/>
        </w:rPr>
        <w:t>existence</w:t>
      </w:r>
      <w:r w:rsidR="00314EE7">
        <w:rPr>
          <w:rFonts w:ascii="Times New Roman" w:hAnsi="Times New Roman" w:cs="Times New Roman"/>
          <w:sz w:val="24"/>
          <w:szCs w:val="24"/>
          <w:lang w:val="en-US"/>
        </w:rPr>
        <w:t xml:space="preserve"> of </w:t>
      </w:r>
      <w:r w:rsidR="00CA5309">
        <w:rPr>
          <w:rFonts w:ascii="Times New Roman" w:hAnsi="Times New Roman" w:cs="Times New Roman"/>
          <w:sz w:val="24"/>
          <w:szCs w:val="24"/>
          <w:lang w:val="en-US"/>
        </w:rPr>
        <w:t>the</w:t>
      </w:r>
      <w:r w:rsidR="007549AE">
        <w:rPr>
          <w:rFonts w:ascii="Times New Roman" w:hAnsi="Times New Roman" w:cs="Times New Roman"/>
          <w:sz w:val="24"/>
          <w:szCs w:val="24"/>
          <w:lang w:val="en-US"/>
        </w:rPr>
        <w:t>se</w:t>
      </w:r>
      <w:r w:rsidR="00314EE7">
        <w:rPr>
          <w:rFonts w:ascii="Times New Roman" w:hAnsi="Times New Roman" w:cs="Times New Roman"/>
          <w:sz w:val="24"/>
          <w:szCs w:val="24"/>
          <w:lang w:val="en-US"/>
        </w:rPr>
        <w:t xml:space="preserve"> asymmetries </w:t>
      </w:r>
      <w:r w:rsidR="00D873B2">
        <w:rPr>
          <w:rFonts w:ascii="Times New Roman" w:hAnsi="Times New Roman" w:cs="Times New Roman"/>
          <w:sz w:val="24"/>
          <w:szCs w:val="24"/>
          <w:lang w:val="en-US"/>
        </w:rPr>
        <w:t xml:space="preserve">will </w:t>
      </w:r>
      <w:r w:rsidR="007C7C26">
        <w:rPr>
          <w:rFonts w:ascii="Times New Roman" w:hAnsi="Times New Roman" w:cs="Times New Roman"/>
          <w:sz w:val="24"/>
          <w:szCs w:val="24"/>
          <w:lang w:val="en-US"/>
        </w:rPr>
        <w:t xml:space="preserve">be </w:t>
      </w:r>
      <w:r w:rsidR="00D873B2">
        <w:rPr>
          <w:rFonts w:ascii="Times New Roman" w:hAnsi="Times New Roman" w:cs="Times New Roman"/>
          <w:sz w:val="24"/>
          <w:szCs w:val="24"/>
          <w:lang w:val="en-US"/>
        </w:rPr>
        <w:t xml:space="preserve">perceived </w:t>
      </w:r>
      <w:r w:rsidR="00CA1DF5">
        <w:rPr>
          <w:rFonts w:ascii="Times New Roman" w:hAnsi="Times New Roman" w:cs="Times New Roman"/>
          <w:sz w:val="24"/>
          <w:szCs w:val="24"/>
          <w:lang w:val="en-US"/>
        </w:rPr>
        <w:t xml:space="preserve">by the different segments of society </w:t>
      </w:r>
      <w:r w:rsidR="00D873B2">
        <w:rPr>
          <w:rFonts w:ascii="Times New Roman" w:hAnsi="Times New Roman" w:cs="Times New Roman"/>
          <w:sz w:val="24"/>
          <w:szCs w:val="24"/>
          <w:lang w:val="en-US"/>
        </w:rPr>
        <w:t>in a more negative</w:t>
      </w:r>
      <w:r w:rsidR="007C7C26">
        <w:rPr>
          <w:rFonts w:ascii="Times New Roman" w:hAnsi="Times New Roman" w:cs="Times New Roman"/>
          <w:sz w:val="24"/>
          <w:szCs w:val="24"/>
          <w:lang w:val="en-US"/>
        </w:rPr>
        <w:t xml:space="preserve"> </w:t>
      </w:r>
      <w:r w:rsidR="008D4D42">
        <w:rPr>
          <w:rFonts w:ascii="Times New Roman" w:hAnsi="Times New Roman" w:cs="Times New Roman"/>
          <w:sz w:val="24"/>
          <w:szCs w:val="24"/>
          <w:lang w:val="en-US"/>
        </w:rPr>
        <w:t>way</w:t>
      </w:r>
      <w:r w:rsidR="007C7C26">
        <w:rPr>
          <w:rFonts w:ascii="Times New Roman" w:hAnsi="Times New Roman" w:cs="Times New Roman"/>
          <w:sz w:val="24"/>
          <w:szCs w:val="24"/>
          <w:lang w:val="en-US"/>
        </w:rPr>
        <w:t xml:space="preserve">. Therefore, </w:t>
      </w:r>
      <w:r w:rsidR="007549AE">
        <w:rPr>
          <w:rFonts w:ascii="Times New Roman" w:hAnsi="Times New Roman" w:cs="Times New Roman"/>
          <w:sz w:val="24"/>
          <w:szCs w:val="24"/>
          <w:lang w:val="en-US"/>
        </w:rPr>
        <w:t>they</w:t>
      </w:r>
      <w:r w:rsidR="007C7C26">
        <w:rPr>
          <w:rFonts w:ascii="Times New Roman" w:hAnsi="Times New Roman" w:cs="Times New Roman"/>
          <w:sz w:val="24"/>
          <w:szCs w:val="24"/>
          <w:lang w:val="en-US"/>
        </w:rPr>
        <w:t xml:space="preserve"> will </w:t>
      </w:r>
      <w:r w:rsidR="00314EE7">
        <w:rPr>
          <w:rFonts w:ascii="Times New Roman" w:hAnsi="Times New Roman" w:cs="Times New Roman"/>
          <w:sz w:val="24"/>
          <w:szCs w:val="24"/>
          <w:lang w:val="en-US"/>
        </w:rPr>
        <w:t>negatively affect the profitability and market valuation</w:t>
      </w:r>
      <w:r w:rsidR="007C7C26">
        <w:rPr>
          <w:rFonts w:ascii="Times New Roman" w:hAnsi="Times New Roman" w:cs="Times New Roman"/>
          <w:sz w:val="24"/>
          <w:szCs w:val="24"/>
          <w:lang w:val="en-US"/>
        </w:rPr>
        <w:t xml:space="preserve"> of the buyer firm</w:t>
      </w:r>
      <w:r w:rsidR="00314EE7">
        <w:rPr>
          <w:rFonts w:ascii="Times New Roman" w:hAnsi="Times New Roman" w:cs="Times New Roman"/>
          <w:sz w:val="24"/>
          <w:szCs w:val="24"/>
          <w:lang w:val="en-US"/>
        </w:rPr>
        <w:t>.</w:t>
      </w:r>
    </w:p>
    <w:p w14:paraId="359A7C7B" w14:textId="561D1961" w:rsidR="00A00700" w:rsidRDefault="00AC5E72" w:rsidP="00A9424B">
      <w:pPr>
        <w:spacing w:line="480" w:lineRule="auto"/>
        <w:jc w:val="both"/>
        <w:rPr>
          <w:rFonts w:ascii="Times New Roman" w:hAnsi="Times New Roman" w:cs="Times New Roman"/>
          <w:sz w:val="24"/>
          <w:szCs w:val="24"/>
          <w:lang w:val="en-US"/>
        </w:rPr>
      </w:pPr>
      <w:r w:rsidRPr="00EF472C">
        <w:rPr>
          <w:rFonts w:ascii="Times New Roman" w:hAnsi="Times New Roman" w:cs="Times New Roman"/>
          <w:sz w:val="24"/>
          <w:szCs w:val="24"/>
          <w:lang w:val="en-US"/>
        </w:rPr>
        <w:t xml:space="preserve">This study makes several contributions. </w:t>
      </w:r>
      <w:r w:rsidR="00D06CF1" w:rsidRPr="00EF472C">
        <w:rPr>
          <w:rFonts w:ascii="Times New Roman" w:hAnsi="Times New Roman" w:cs="Times New Roman"/>
          <w:sz w:val="24"/>
          <w:szCs w:val="24"/>
          <w:lang w:val="en-US"/>
        </w:rPr>
        <w:t xml:space="preserve">Firstly, </w:t>
      </w:r>
      <w:r w:rsidR="00E7045A">
        <w:rPr>
          <w:rFonts w:ascii="Times New Roman" w:hAnsi="Times New Roman" w:cs="Times New Roman"/>
          <w:sz w:val="24"/>
          <w:szCs w:val="24"/>
          <w:lang w:val="en-US"/>
        </w:rPr>
        <w:t xml:space="preserve">by </w:t>
      </w:r>
      <w:r w:rsidR="0045389F">
        <w:rPr>
          <w:rFonts w:ascii="Times New Roman" w:hAnsi="Times New Roman" w:cs="Times New Roman"/>
          <w:sz w:val="24"/>
          <w:szCs w:val="24"/>
          <w:lang w:val="en-US"/>
        </w:rPr>
        <w:t xml:space="preserve">simultaneously </w:t>
      </w:r>
      <w:r w:rsidR="00525AA0" w:rsidRPr="00EF472C">
        <w:rPr>
          <w:rFonts w:ascii="Times New Roman" w:hAnsi="Times New Roman" w:cs="Times New Roman"/>
          <w:sz w:val="24"/>
          <w:szCs w:val="24"/>
          <w:lang w:val="en-US"/>
        </w:rPr>
        <w:t xml:space="preserve">assessing </w:t>
      </w:r>
      <w:r w:rsidR="0045389F">
        <w:rPr>
          <w:rFonts w:ascii="Times New Roman" w:hAnsi="Times New Roman" w:cs="Times New Roman"/>
          <w:sz w:val="24"/>
          <w:szCs w:val="24"/>
          <w:lang w:val="en-US"/>
        </w:rPr>
        <w:t xml:space="preserve">both </w:t>
      </w:r>
      <w:r w:rsidR="00525AA0" w:rsidRPr="00EF472C">
        <w:rPr>
          <w:rFonts w:ascii="Times New Roman" w:hAnsi="Times New Roman" w:cs="Times New Roman"/>
          <w:sz w:val="24"/>
          <w:szCs w:val="24"/>
          <w:lang w:val="en-US"/>
        </w:rPr>
        <w:t>environmental and social sustainability dimensions</w:t>
      </w:r>
      <w:r w:rsidR="00DE0B76" w:rsidRPr="00856CFA">
        <w:rPr>
          <w:rFonts w:ascii="Times New Roman" w:hAnsi="Times New Roman" w:cs="Times New Roman"/>
          <w:sz w:val="24"/>
          <w:szCs w:val="24"/>
          <w:lang w:val="en-US"/>
        </w:rPr>
        <w:t>,</w:t>
      </w:r>
      <w:r w:rsidR="00DD180B" w:rsidRPr="00856CFA">
        <w:rPr>
          <w:rFonts w:ascii="Times New Roman" w:hAnsi="Times New Roman" w:cs="Times New Roman"/>
          <w:sz w:val="24"/>
          <w:szCs w:val="24"/>
          <w:lang w:val="en-US"/>
        </w:rPr>
        <w:t xml:space="preserve"> </w:t>
      </w:r>
      <w:r w:rsidR="00525AA0" w:rsidRPr="00EF472C">
        <w:rPr>
          <w:rFonts w:ascii="Times New Roman" w:hAnsi="Times New Roman" w:cs="Times New Roman"/>
          <w:sz w:val="24"/>
          <w:szCs w:val="24"/>
          <w:lang w:val="en-US"/>
        </w:rPr>
        <w:t xml:space="preserve">and </w:t>
      </w:r>
      <w:r w:rsidR="00AA0166">
        <w:rPr>
          <w:rFonts w:ascii="Times New Roman" w:hAnsi="Times New Roman" w:cs="Times New Roman"/>
          <w:sz w:val="24"/>
          <w:szCs w:val="24"/>
          <w:lang w:val="en-US"/>
        </w:rPr>
        <w:t xml:space="preserve">by </w:t>
      </w:r>
      <w:r w:rsidR="00525AA0" w:rsidRPr="00EF472C">
        <w:rPr>
          <w:rFonts w:ascii="Times New Roman" w:hAnsi="Times New Roman" w:cs="Times New Roman"/>
          <w:sz w:val="24"/>
          <w:szCs w:val="24"/>
          <w:lang w:val="en-US"/>
        </w:rPr>
        <w:t xml:space="preserve">expanding the examination beyond the firm-unit perspective, we provide a comprehensive </w:t>
      </w:r>
      <w:r w:rsidR="00525AA0" w:rsidRPr="00D47875">
        <w:rPr>
          <w:rFonts w:ascii="Times New Roman" w:hAnsi="Times New Roman" w:cs="Times New Roman"/>
          <w:sz w:val="24"/>
          <w:szCs w:val="24"/>
          <w:lang w:val="en-US"/>
        </w:rPr>
        <w:t>understanding</w:t>
      </w:r>
      <w:r w:rsidR="00525AA0" w:rsidRPr="00EF472C">
        <w:rPr>
          <w:rFonts w:ascii="Times New Roman" w:hAnsi="Times New Roman" w:cs="Times New Roman"/>
          <w:sz w:val="24"/>
          <w:szCs w:val="24"/>
          <w:lang w:val="en-US"/>
        </w:rPr>
        <w:t xml:space="preserve"> </w:t>
      </w:r>
      <w:r w:rsidR="0098198D" w:rsidRPr="00EF472C">
        <w:rPr>
          <w:rFonts w:ascii="Times New Roman" w:hAnsi="Times New Roman" w:cs="Times New Roman"/>
          <w:sz w:val="24"/>
          <w:szCs w:val="24"/>
          <w:lang w:val="en-US"/>
        </w:rPr>
        <w:t>of</w:t>
      </w:r>
      <w:r w:rsidR="00525AA0" w:rsidRPr="00EF472C">
        <w:rPr>
          <w:rFonts w:ascii="Times New Roman" w:hAnsi="Times New Roman" w:cs="Times New Roman"/>
          <w:sz w:val="24"/>
          <w:szCs w:val="24"/>
          <w:lang w:val="en-US"/>
        </w:rPr>
        <w:t xml:space="preserve"> the relationship between sustainability and performance. </w:t>
      </w:r>
      <w:r w:rsidR="00021180" w:rsidRPr="00EF472C">
        <w:rPr>
          <w:rFonts w:ascii="Times New Roman" w:hAnsi="Times New Roman" w:cs="Times New Roman"/>
          <w:sz w:val="24"/>
          <w:szCs w:val="24"/>
          <w:lang w:val="en-US"/>
        </w:rPr>
        <w:t xml:space="preserve">In fact, this paper is </w:t>
      </w:r>
      <w:r w:rsidR="00605E66">
        <w:rPr>
          <w:rFonts w:ascii="Times New Roman" w:hAnsi="Times New Roman" w:cs="Times New Roman"/>
          <w:sz w:val="24"/>
          <w:szCs w:val="24"/>
          <w:lang w:val="en-US"/>
        </w:rPr>
        <w:t xml:space="preserve">one of </w:t>
      </w:r>
      <w:r w:rsidR="00021180" w:rsidRPr="00EF472C">
        <w:rPr>
          <w:rFonts w:ascii="Times New Roman" w:hAnsi="Times New Roman" w:cs="Times New Roman"/>
          <w:sz w:val="24"/>
          <w:szCs w:val="24"/>
          <w:lang w:val="en-US"/>
        </w:rPr>
        <w:t xml:space="preserve">the first large-scale empirical </w:t>
      </w:r>
      <w:r w:rsidR="00605E66" w:rsidRPr="00EF472C">
        <w:rPr>
          <w:rFonts w:ascii="Times New Roman" w:hAnsi="Times New Roman" w:cs="Times New Roman"/>
          <w:sz w:val="24"/>
          <w:szCs w:val="24"/>
          <w:lang w:val="en-US"/>
        </w:rPr>
        <w:t>stud</w:t>
      </w:r>
      <w:r w:rsidR="00605E66">
        <w:rPr>
          <w:rFonts w:ascii="Times New Roman" w:hAnsi="Times New Roman" w:cs="Times New Roman"/>
          <w:sz w:val="24"/>
          <w:szCs w:val="24"/>
          <w:lang w:val="en-US"/>
        </w:rPr>
        <w:t>ies</w:t>
      </w:r>
      <w:r w:rsidR="00605E66" w:rsidRPr="00EF472C">
        <w:rPr>
          <w:rFonts w:ascii="Times New Roman" w:hAnsi="Times New Roman" w:cs="Times New Roman"/>
          <w:sz w:val="24"/>
          <w:szCs w:val="24"/>
          <w:lang w:val="en-US"/>
        </w:rPr>
        <w:t xml:space="preserve"> </w:t>
      </w:r>
      <w:r w:rsidR="00021180" w:rsidRPr="00EF472C">
        <w:rPr>
          <w:rFonts w:ascii="Times New Roman" w:hAnsi="Times New Roman" w:cs="Times New Roman"/>
          <w:sz w:val="24"/>
          <w:szCs w:val="24"/>
          <w:lang w:val="en-US"/>
        </w:rPr>
        <w:t xml:space="preserve">that systematically examines </w:t>
      </w:r>
      <w:r w:rsidR="0045389F">
        <w:rPr>
          <w:rFonts w:ascii="Times New Roman" w:hAnsi="Times New Roman" w:cs="Times New Roman"/>
          <w:sz w:val="24"/>
          <w:szCs w:val="24"/>
          <w:lang w:val="en-US"/>
        </w:rPr>
        <w:t>both environmental and social</w:t>
      </w:r>
      <w:r w:rsidR="00021180" w:rsidRPr="00EF472C">
        <w:rPr>
          <w:rFonts w:ascii="Times New Roman" w:hAnsi="Times New Roman" w:cs="Times New Roman"/>
          <w:sz w:val="24"/>
          <w:szCs w:val="24"/>
          <w:lang w:val="en-US"/>
        </w:rPr>
        <w:t xml:space="preserve"> sustainability</w:t>
      </w:r>
      <w:r w:rsidR="00021180" w:rsidRPr="00873B4D">
        <w:rPr>
          <w:rFonts w:ascii="Times New Roman" w:hAnsi="Times New Roman" w:cs="Times New Roman"/>
          <w:sz w:val="24"/>
          <w:szCs w:val="24"/>
          <w:lang w:val="en-US"/>
        </w:rPr>
        <w:t xml:space="preserve"> dimensions </w:t>
      </w:r>
      <w:r w:rsidR="00021180">
        <w:rPr>
          <w:rFonts w:ascii="Times New Roman" w:hAnsi="Times New Roman" w:cs="Times New Roman"/>
          <w:sz w:val="24"/>
          <w:szCs w:val="24"/>
          <w:lang w:val="en-US"/>
        </w:rPr>
        <w:t>over</w:t>
      </w:r>
      <w:r w:rsidR="00021180" w:rsidRPr="00873B4D">
        <w:rPr>
          <w:rFonts w:ascii="Times New Roman" w:hAnsi="Times New Roman" w:cs="Times New Roman"/>
          <w:sz w:val="24"/>
          <w:szCs w:val="24"/>
          <w:lang w:val="en-US"/>
        </w:rPr>
        <w:t xml:space="preserve"> several years</w:t>
      </w:r>
      <w:r w:rsidR="00021180">
        <w:rPr>
          <w:rFonts w:ascii="Times New Roman" w:hAnsi="Times New Roman" w:cs="Times New Roman"/>
          <w:sz w:val="24"/>
          <w:szCs w:val="24"/>
          <w:lang w:val="en-US"/>
        </w:rPr>
        <w:t xml:space="preserve"> in the sustainable supply chain management </w:t>
      </w:r>
      <w:r w:rsidR="00021180" w:rsidRPr="00EF472C">
        <w:rPr>
          <w:rFonts w:ascii="Times New Roman" w:hAnsi="Times New Roman" w:cs="Times New Roman"/>
          <w:sz w:val="24"/>
          <w:szCs w:val="24"/>
          <w:lang w:val="en-US"/>
        </w:rPr>
        <w:t>context</w:t>
      </w:r>
      <w:r w:rsidR="00605E66">
        <w:rPr>
          <w:rFonts w:ascii="Times New Roman" w:hAnsi="Times New Roman" w:cs="Times New Roman"/>
          <w:sz w:val="24"/>
          <w:szCs w:val="24"/>
          <w:lang w:val="en-US"/>
        </w:rPr>
        <w:t xml:space="preserve"> (</w:t>
      </w:r>
      <w:r w:rsidR="00044DF4">
        <w:rPr>
          <w:rFonts w:ascii="Times New Roman" w:hAnsi="Times New Roman" w:cs="Times New Roman"/>
          <w:sz w:val="24"/>
          <w:szCs w:val="24"/>
          <w:lang w:val="en-US"/>
        </w:rPr>
        <w:t>see also</w:t>
      </w:r>
      <w:r w:rsidR="00605E66">
        <w:rPr>
          <w:rFonts w:ascii="Times New Roman" w:hAnsi="Times New Roman" w:cs="Times New Roman"/>
          <w:sz w:val="24"/>
          <w:szCs w:val="24"/>
          <w:lang w:val="en-US"/>
        </w:rPr>
        <w:t xml:space="preserve"> </w:t>
      </w:r>
      <w:proofErr w:type="spellStart"/>
      <w:r w:rsidR="00605E66">
        <w:rPr>
          <w:rFonts w:ascii="Times New Roman" w:hAnsi="Times New Roman" w:cs="Times New Roman"/>
          <w:sz w:val="24"/>
          <w:szCs w:val="24"/>
          <w:lang w:val="en-US"/>
        </w:rPr>
        <w:t>Dabhilkar</w:t>
      </w:r>
      <w:proofErr w:type="spellEnd"/>
      <w:r w:rsidR="00605E66">
        <w:rPr>
          <w:rFonts w:ascii="Times New Roman" w:hAnsi="Times New Roman" w:cs="Times New Roman"/>
          <w:sz w:val="24"/>
          <w:szCs w:val="24"/>
          <w:lang w:val="en-US"/>
        </w:rPr>
        <w:t xml:space="preserve"> et al.,</w:t>
      </w:r>
      <w:r w:rsidR="00BF6159">
        <w:rPr>
          <w:rFonts w:ascii="Times New Roman" w:hAnsi="Times New Roman" w:cs="Times New Roman"/>
          <w:sz w:val="24"/>
          <w:szCs w:val="24"/>
          <w:lang w:val="en-US"/>
        </w:rPr>
        <w:t xml:space="preserve"> </w:t>
      </w:r>
      <w:r w:rsidR="00605E66">
        <w:rPr>
          <w:rFonts w:ascii="Times New Roman" w:hAnsi="Times New Roman" w:cs="Times New Roman"/>
          <w:sz w:val="24"/>
          <w:szCs w:val="24"/>
          <w:lang w:val="en-US"/>
        </w:rPr>
        <w:t xml:space="preserve">2016; </w:t>
      </w:r>
      <w:proofErr w:type="spellStart"/>
      <w:r w:rsidR="00605E66">
        <w:rPr>
          <w:rFonts w:ascii="Times New Roman" w:hAnsi="Times New Roman" w:cs="Times New Roman"/>
          <w:sz w:val="24"/>
          <w:szCs w:val="24"/>
          <w:lang w:val="en-US"/>
        </w:rPr>
        <w:t>Toubolic</w:t>
      </w:r>
      <w:proofErr w:type="spellEnd"/>
      <w:r w:rsidR="00605E66">
        <w:rPr>
          <w:rFonts w:ascii="Times New Roman" w:hAnsi="Times New Roman" w:cs="Times New Roman"/>
          <w:sz w:val="24"/>
          <w:szCs w:val="24"/>
          <w:lang w:val="en-US"/>
        </w:rPr>
        <w:t xml:space="preserve"> et al.</w:t>
      </w:r>
      <w:r w:rsidR="00605E66">
        <w:rPr>
          <w:rFonts w:ascii="Times New Roman" w:hAnsi="Times New Roman" w:cs="Times New Roman"/>
          <w:sz w:val="24"/>
          <w:szCs w:val="24"/>
          <w:lang w:val="en-US"/>
        </w:rPr>
        <w:t>,</w:t>
      </w:r>
      <w:r w:rsidR="00605E66">
        <w:rPr>
          <w:rFonts w:ascii="Times New Roman" w:hAnsi="Times New Roman" w:cs="Times New Roman"/>
          <w:sz w:val="24"/>
          <w:szCs w:val="24"/>
          <w:lang w:val="en-US"/>
        </w:rPr>
        <w:t xml:space="preserve"> 201</w:t>
      </w:r>
      <w:r w:rsidR="0014433F">
        <w:rPr>
          <w:rFonts w:ascii="Times New Roman" w:hAnsi="Times New Roman" w:cs="Times New Roman"/>
          <w:sz w:val="24"/>
          <w:szCs w:val="24"/>
          <w:lang w:val="en-US"/>
        </w:rPr>
        <w:t>4</w:t>
      </w:r>
      <w:r w:rsidR="00605E66">
        <w:rPr>
          <w:rFonts w:ascii="Times New Roman" w:hAnsi="Times New Roman" w:cs="Times New Roman"/>
          <w:sz w:val="24"/>
          <w:szCs w:val="24"/>
          <w:lang w:val="en-US"/>
        </w:rPr>
        <w:t>)</w:t>
      </w:r>
      <w:r w:rsidR="00EF472C" w:rsidRPr="00EF472C">
        <w:rPr>
          <w:rFonts w:ascii="Times New Roman" w:hAnsi="Times New Roman" w:cs="Times New Roman"/>
          <w:sz w:val="24"/>
          <w:szCs w:val="24"/>
          <w:lang w:val="en-US"/>
        </w:rPr>
        <w:t>.</w:t>
      </w:r>
      <w:r w:rsidR="00021180" w:rsidRPr="00EF472C">
        <w:rPr>
          <w:rFonts w:ascii="Times New Roman" w:hAnsi="Times New Roman" w:cs="Times New Roman"/>
          <w:sz w:val="24"/>
          <w:szCs w:val="24"/>
          <w:lang w:val="en-US"/>
        </w:rPr>
        <w:t xml:space="preserve"> </w:t>
      </w:r>
      <w:bookmarkStart w:id="2" w:name="_Hlk76976357"/>
      <w:r w:rsidR="00525AA0" w:rsidRPr="00EF472C">
        <w:rPr>
          <w:rFonts w:ascii="Times New Roman" w:hAnsi="Times New Roman" w:cs="Times New Roman"/>
          <w:sz w:val="24"/>
          <w:szCs w:val="24"/>
          <w:lang w:val="en-US"/>
        </w:rPr>
        <w:t xml:space="preserve">Secondly, </w:t>
      </w:r>
      <w:r w:rsidR="0098198D" w:rsidRPr="00EF472C">
        <w:rPr>
          <w:rFonts w:ascii="Times New Roman" w:hAnsi="Times New Roman" w:cs="Times New Roman"/>
          <w:sz w:val="24"/>
          <w:szCs w:val="24"/>
          <w:lang w:val="en-US"/>
        </w:rPr>
        <w:t>we</w:t>
      </w:r>
      <w:r w:rsidR="0098198D">
        <w:rPr>
          <w:rFonts w:ascii="Times New Roman" w:hAnsi="Times New Roman" w:cs="Times New Roman"/>
          <w:sz w:val="24"/>
          <w:szCs w:val="24"/>
          <w:lang w:val="en-US"/>
        </w:rPr>
        <w:t xml:space="preserve"> </w:t>
      </w:r>
      <w:r w:rsidR="006B671C">
        <w:rPr>
          <w:rFonts w:ascii="Times New Roman" w:hAnsi="Times New Roman" w:cs="Times New Roman"/>
          <w:sz w:val="24"/>
          <w:szCs w:val="24"/>
          <w:lang w:val="en-US"/>
        </w:rPr>
        <w:t>question</w:t>
      </w:r>
      <w:r w:rsidR="0098198D">
        <w:rPr>
          <w:rFonts w:ascii="Times New Roman" w:hAnsi="Times New Roman" w:cs="Times New Roman"/>
          <w:sz w:val="24"/>
          <w:szCs w:val="24"/>
          <w:lang w:val="en-US"/>
        </w:rPr>
        <w:t xml:space="preserve"> the assumption</w:t>
      </w:r>
      <w:r w:rsidR="0098198D" w:rsidRPr="00873B4D">
        <w:rPr>
          <w:rFonts w:ascii="Times New Roman" w:hAnsi="Times New Roman" w:cs="Times New Roman"/>
          <w:sz w:val="24"/>
          <w:szCs w:val="24"/>
          <w:lang w:val="en-US"/>
        </w:rPr>
        <w:t xml:space="preserve"> that alignment between supply chain partners is </w:t>
      </w:r>
      <w:r w:rsidR="0098198D">
        <w:rPr>
          <w:rFonts w:ascii="Times New Roman" w:hAnsi="Times New Roman" w:cs="Times New Roman"/>
          <w:sz w:val="24"/>
          <w:szCs w:val="24"/>
          <w:lang w:val="en-US"/>
        </w:rPr>
        <w:t xml:space="preserve">always </w:t>
      </w:r>
      <w:r w:rsidR="0098198D" w:rsidRPr="00873B4D">
        <w:rPr>
          <w:rFonts w:ascii="Times New Roman" w:hAnsi="Times New Roman" w:cs="Times New Roman"/>
          <w:sz w:val="24"/>
          <w:szCs w:val="24"/>
          <w:lang w:val="en-US"/>
        </w:rPr>
        <w:t>beneficial</w:t>
      </w:r>
      <w:r w:rsidR="0098198D">
        <w:rPr>
          <w:rFonts w:ascii="Times New Roman" w:hAnsi="Times New Roman" w:cs="Times New Roman"/>
          <w:sz w:val="24"/>
          <w:szCs w:val="24"/>
          <w:lang w:val="en-US"/>
        </w:rPr>
        <w:t>.</w:t>
      </w:r>
      <w:bookmarkEnd w:id="2"/>
      <w:r w:rsidR="006C4519">
        <w:rPr>
          <w:rFonts w:ascii="Times New Roman" w:hAnsi="Times New Roman" w:cs="Times New Roman"/>
          <w:sz w:val="24"/>
          <w:szCs w:val="24"/>
          <w:lang w:val="en-US"/>
        </w:rPr>
        <w:t xml:space="preserve"> </w:t>
      </w:r>
      <w:r w:rsidR="0098198D">
        <w:rPr>
          <w:rFonts w:ascii="Times New Roman" w:hAnsi="Times New Roman" w:cs="Times New Roman"/>
          <w:sz w:val="24"/>
          <w:szCs w:val="24"/>
          <w:lang w:val="en-US"/>
        </w:rPr>
        <w:t xml:space="preserve">Through examining the </w:t>
      </w:r>
      <w:r w:rsidR="00A81EF5">
        <w:rPr>
          <w:rFonts w:ascii="Times New Roman" w:hAnsi="Times New Roman" w:cs="Times New Roman"/>
          <w:sz w:val="24"/>
          <w:szCs w:val="24"/>
          <w:lang w:val="en-US"/>
        </w:rPr>
        <w:t xml:space="preserve">buyer performance in terms of </w:t>
      </w:r>
      <w:r w:rsidR="00B07B9F">
        <w:rPr>
          <w:rFonts w:ascii="Times New Roman" w:hAnsi="Times New Roman" w:cs="Times New Roman"/>
          <w:sz w:val="24"/>
          <w:szCs w:val="24"/>
          <w:lang w:val="en-US"/>
        </w:rPr>
        <w:t>r</w:t>
      </w:r>
      <w:r w:rsidR="0098198D">
        <w:rPr>
          <w:rFonts w:ascii="Times New Roman" w:hAnsi="Times New Roman" w:cs="Times New Roman"/>
          <w:sz w:val="24"/>
          <w:szCs w:val="24"/>
          <w:lang w:val="en-US"/>
        </w:rPr>
        <w:t>eturn on assets</w:t>
      </w:r>
      <w:r w:rsidR="009D048E">
        <w:rPr>
          <w:rFonts w:ascii="Times New Roman" w:hAnsi="Times New Roman" w:cs="Times New Roman"/>
          <w:sz w:val="24"/>
          <w:szCs w:val="24"/>
          <w:lang w:val="en-US"/>
        </w:rPr>
        <w:t xml:space="preserve"> and </w:t>
      </w:r>
      <w:proofErr w:type="spellStart"/>
      <w:r w:rsidR="00B07B9F">
        <w:rPr>
          <w:rFonts w:ascii="Times New Roman" w:hAnsi="Times New Roman" w:cs="Times New Roman"/>
          <w:sz w:val="24"/>
          <w:szCs w:val="24"/>
          <w:lang w:val="en-US"/>
        </w:rPr>
        <w:t>t</w:t>
      </w:r>
      <w:r w:rsidR="009D048E">
        <w:rPr>
          <w:rFonts w:ascii="Times New Roman" w:hAnsi="Times New Roman" w:cs="Times New Roman"/>
          <w:sz w:val="24"/>
          <w:szCs w:val="24"/>
          <w:lang w:val="en-US"/>
        </w:rPr>
        <w:t>obin</w:t>
      </w:r>
      <w:r w:rsidR="00B07B9F">
        <w:rPr>
          <w:rFonts w:ascii="Times New Roman" w:hAnsi="Times New Roman" w:cs="Times New Roman"/>
          <w:sz w:val="24"/>
          <w:szCs w:val="24"/>
          <w:lang w:val="en-US"/>
        </w:rPr>
        <w:t>’</w:t>
      </w:r>
      <w:r w:rsidR="009D048E">
        <w:rPr>
          <w:rFonts w:ascii="Times New Roman" w:hAnsi="Times New Roman" w:cs="Times New Roman"/>
          <w:sz w:val="24"/>
          <w:szCs w:val="24"/>
          <w:lang w:val="en-US"/>
        </w:rPr>
        <w:t>s</w:t>
      </w:r>
      <w:proofErr w:type="spellEnd"/>
      <w:r w:rsidR="00B07B9F">
        <w:rPr>
          <w:rFonts w:ascii="Times New Roman" w:hAnsi="Times New Roman" w:cs="Times New Roman"/>
          <w:sz w:val="24"/>
          <w:szCs w:val="24"/>
          <w:lang w:val="en-US"/>
        </w:rPr>
        <w:t xml:space="preserve"> q</w:t>
      </w:r>
      <w:r w:rsidR="00CD009D">
        <w:rPr>
          <w:rFonts w:ascii="Times New Roman" w:hAnsi="Times New Roman" w:cs="Times New Roman"/>
          <w:sz w:val="24"/>
          <w:szCs w:val="24"/>
          <w:lang w:val="en-US"/>
        </w:rPr>
        <w:t xml:space="preserve">, </w:t>
      </w:r>
      <w:r w:rsidR="00951AEF">
        <w:rPr>
          <w:rFonts w:ascii="Times New Roman" w:hAnsi="Times New Roman" w:cs="Times New Roman"/>
          <w:sz w:val="24"/>
          <w:szCs w:val="24"/>
          <w:lang w:val="en-US"/>
        </w:rPr>
        <w:t xml:space="preserve">we </w:t>
      </w:r>
      <w:r w:rsidR="00281C2E">
        <w:rPr>
          <w:rFonts w:ascii="Times New Roman" w:hAnsi="Times New Roman" w:cs="Times New Roman"/>
          <w:sz w:val="24"/>
          <w:szCs w:val="24"/>
          <w:lang w:val="en-US"/>
        </w:rPr>
        <w:t xml:space="preserve">broaden the </w:t>
      </w:r>
      <w:r w:rsidR="00281C2E" w:rsidRPr="00D47875">
        <w:rPr>
          <w:rFonts w:ascii="Times New Roman" w:hAnsi="Times New Roman" w:cs="Times New Roman"/>
          <w:sz w:val="24"/>
          <w:szCs w:val="24"/>
          <w:lang w:val="en-US"/>
        </w:rPr>
        <w:t>understanding</w:t>
      </w:r>
      <w:r w:rsidR="007E7602">
        <w:rPr>
          <w:rFonts w:ascii="Times New Roman" w:hAnsi="Times New Roman" w:cs="Times New Roman"/>
          <w:sz w:val="24"/>
          <w:szCs w:val="24"/>
          <w:lang w:val="en-US"/>
        </w:rPr>
        <w:t xml:space="preserve"> o</w:t>
      </w:r>
      <w:r w:rsidR="00281C2E">
        <w:rPr>
          <w:rFonts w:ascii="Times New Roman" w:hAnsi="Times New Roman" w:cs="Times New Roman"/>
          <w:sz w:val="24"/>
          <w:szCs w:val="24"/>
          <w:lang w:val="en-US"/>
        </w:rPr>
        <w:t>f</w:t>
      </w:r>
      <w:r w:rsidR="007E7602">
        <w:rPr>
          <w:rFonts w:ascii="Times New Roman" w:hAnsi="Times New Roman" w:cs="Times New Roman"/>
          <w:sz w:val="24"/>
          <w:szCs w:val="24"/>
          <w:lang w:val="en-US"/>
        </w:rPr>
        <w:t xml:space="preserve"> </w:t>
      </w:r>
      <w:r w:rsidR="00951AEF">
        <w:rPr>
          <w:rFonts w:ascii="Times New Roman" w:hAnsi="Times New Roman" w:cs="Times New Roman"/>
          <w:sz w:val="24"/>
          <w:szCs w:val="24"/>
          <w:lang w:val="en-US"/>
        </w:rPr>
        <w:t xml:space="preserve">the </w:t>
      </w:r>
      <w:r w:rsidR="009D048E">
        <w:rPr>
          <w:rFonts w:ascii="Times New Roman" w:hAnsi="Times New Roman" w:cs="Times New Roman"/>
          <w:sz w:val="24"/>
          <w:szCs w:val="24"/>
          <w:lang w:val="en-US"/>
        </w:rPr>
        <w:t xml:space="preserve">financial and market </w:t>
      </w:r>
      <w:r w:rsidR="006C4519">
        <w:rPr>
          <w:rFonts w:ascii="Times New Roman" w:hAnsi="Times New Roman" w:cs="Times New Roman"/>
          <w:sz w:val="24"/>
          <w:szCs w:val="24"/>
          <w:lang w:val="en-US"/>
        </w:rPr>
        <w:t>impact</w:t>
      </w:r>
      <w:r w:rsidR="00281C2E">
        <w:rPr>
          <w:rFonts w:ascii="Times New Roman" w:hAnsi="Times New Roman" w:cs="Times New Roman"/>
          <w:sz w:val="24"/>
          <w:szCs w:val="24"/>
          <w:lang w:val="en-US"/>
        </w:rPr>
        <w:t>s</w:t>
      </w:r>
      <w:r w:rsidR="006C4519">
        <w:rPr>
          <w:rFonts w:ascii="Times New Roman" w:hAnsi="Times New Roman" w:cs="Times New Roman"/>
          <w:sz w:val="24"/>
          <w:szCs w:val="24"/>
          <w:lang w:val="en-US"/>
        </w:rPr>
        <w:t xml:space="preserve"> </w:t>
      </w:r>
      <w:r w:rsidR="007E7602">
        <w:rPr>
          <w:rFonts w:ascii="Times New Roman" w:hAnsi="Times New Roman" w:cs="Times New Roman"/>
          <w:sz w:val="24"/>
          <w:szCs w:val="24"/>
          <w:lang w:val="en-US"/>
        </w:rPr>
        <w:t xml:space="preserve">in relation to the existence of </w:t>
      </w:r>
      <w:r w:rsidR="00E10E37">
        <w:rPr>
          <w:rFonts w:ascii="Times New Roman" w:hAnsi="Times New Roman" w:cs="Times New Roman"/>
          <w:sz w:val="24"/>
          <w:szCs w:val="24"/>
          <w:lang w:val="en-US"/>
        </w:rPr>
        <w:t>sustainability</w:t>
      </w:r>
      <w:r w:rsidR="009E278C">
        <w:rPr>
          <w:rFonts w:ascii="Times New Roman" w:hAnsi="Times New Roman" w:cs="Times New Roman"/>
          <w:sz w:val="24"/>
          <w:szCs w:val="24"/>
          <w:lang w:val="en-US"/>
        </w:rPr>
        <w:t xml:space="preserve"> asymmetries</w:t>
      </w:r>
      <w:r w:rsidR="007E7602">
        <w:rPr>
          <w:rFonts w:ascii="Times New Roman" w:hAnsi="Times New Roman" w:cs="Times New Roman"/>
          <w:sz w:val="24"/>
          <w:szCs w:val="24"/>
          <w:lang w:val="en-US"/>
        </w:rPr>
        <w:t xml:space="preserve"> between supply chain members</w:t>
      </w:r>
      <w:r w:rsidR="00951AEF">
        <w:rPr>
          <w:rFonts w:ascii="Times New Roman" w:hAnsi="Times New Roman" w:cs="Times New Roman"/>
          <w:sz w:val="24"/>
          <w:szCs w:val="24"/>
          <w:lang w:val="en-US"/>
        </w:rPr>
        <w:t>.</w:t>
      </w:r>
      <w:r w:rsidR="00021180">
        <w:rPr>
          <w:rFonts w:ascii="Times New Roman" w:hAnsi="Times New Roman" w:cs="Times New Roman"/>
          <w:sz w:val="24"/>
          <w:szCs w:val="24"/>
          <w:lang w:val="en-US"/>
        </w:rPr>
        <w:t xml:space="preserve"> </w:t>
      </w:r>
      <w:r w:rsidR="0098198D">
        <w:rPr>
          <w:rFonts w:ascii="Times New Roman" w:hAnsi="Times New Roman" w:cs="Times New Roman"/>
          <w:sz w:val="24"/>
          <w:szCs w:val="24"/>
          <w:lang w:val="en-US"/>
        </w:rPr>
        <w:t>Last</w:t>
      </w:r>
      <w:r w:rsidR="009E278C">
        <w:rPr>
          <w:rFonts w:ascii="Times New Roman" w:hAnsi="Times New Roman" w:cs="Times New Roman"/>
          <w:sz w:val="24"/>
          <w:szCs w:val="24"/>
          <w:lang w:val="en-US"/>
        </w:rPr>
        <w:t>ly</w:t>
      </w:r>
      <w:r w:rsidR="0098198D">
        <w:rPr>
          <w:rFonts w:ascii="Times New Roman" w:hAnsi="Times New Roman" w:cs="Times New Roman"/>
          <w:sz w:val="24"/>
          <w:szCs w:val="24"/>
          <w:lang w:val="en-US"/>
        </w:rPr>
        <w:t xml:space="preserve">, the analysis of </w:t>
      </w:r>
      <w:r w:rsidR="008D442A">
        <w:rPr>
          <w:rFonts w:ascii="Times New Roman" w:hAnsi="Times New Roman" w:cs="Times New Roman"/>
          <w:sz w:val="24"/>
          <w:szCs w:val="24"/>
          <w:lang w:val="en-US"/>
        </w:rPr>
        <w:t>a wide sample of 51</w:t>
      </w:r>
      <w:r w:rsidR="009D048E">
        <w:rPr>
          <w:rFonts w:ascii="Times New Roman" w:hAnsi="Times New Roman" w:cs="Times New Roman"/>
          <w:sz w:val="24"/>
          <w:szCs w:val="24"/>
          <w:lang w:val="en-US"/>
        </w:rPr>
        <w:t>6</w:t>
      </w:r>
      <w:r w:rsidR="008D442A">
        <w:rPr>
          <w:rFonts w:ascii="Times New Roman" w:hAnsi="Times New Roman" w:cs="Times New Roman"/>
          <w:sz w:val="24"/>
          <w:szCs w:val="24"/>
          <w:lang w:val="en-US"/>
        </w:rPr>
        <w:t xml:space="preserve"> buyer firms belong</w:t>
      </w:r>
      <w:r w:rsidR="00CD009D">
        <w:rPr>
          <w:rFonts w:ascii="Times New Roman" w:hAnsi="Times New Roman" w:cs="Times New Roman"/>
          <w:sz w:val="24"/>
          <w:szCs w:val="24"/>
          <w:lang w:val="en-US"/>
        </w:rPr>
        <w:t>ing</w:t>
      </w:r>
      <w:r w:rsidR="008D442A">
        <w:rPr>
          <w:rFonts w:ascii="Times New Roman" w:hAnsi="Times New Roman" w:cs="Times New Roman"/>
          <w:sz w:val="24"/>
          <w:szCs w:val="24"/>
          <w:lang w:val="en-US"/>
        </w:rPr>
        <w:t xml:space="preserve"> to sensitive sectors and their corresponding top </w:t>
      </w:r>
      <w:r w:rsidR="008D442A">
        <w:rPr>
          <w:rFonts w:ascii="Times New Roman" w:hAnsi="Times New Roman" w:cs="Times New Roman"/>
          <w:sz w:val="24"/>
          <w:szCs w:val="24"/>
          <w:lang w:val="en-US"/>
        </w:rPr>
        <w:lastRenderedPageBreak/>
        <w:t xml:space="preserve">suppliers </w:t>
      </w:r>
      <w:r w:rsidR="00021180">
        <w:rPr>
          <w:rFonts w:ascii="Times New Roman" w:hAnsi="Times New Roman" w:cs="Times New Roman"/>
          <w:sz w:val="24"/>
          <w:szCs w:val="24"/>
          <w:lang w:val="en-US"/>
        </w:rPr>
        <w:t>offers</w:t>
      </w:r>
      <w:r w:rsidR="0098198D">
        <w:rPr>
          <w:rFonts w:ascii="Times New Roman" w:hAnsi="Times New Roman" w:cs="Times New Roman"/>
          <w:sz w:val="24"/>
          <w:szCs w:val="24"/>
          <w:lang w:val="en-US"/>
        </w:rPr>
        <w:t xml:space="preserve"> </w:t>
      </w:r>
      <w:r w:rsidR="00021180">
        <w:rPr>
          <w:rFonts w:ascii="Times New Roman" w:hAnsi="Times New Roman" w:cs="Times New Roman"/>
          <w:sz w:val="24"/>
          <w:szCs w:val="24"/>
          <w:lang w:val="en-US"/>
        </w:rPr>
        <w:t xml:space="preserve">substantial insights </w:t>
      </w:r>
      <w:r w:rsidR="00AA0166">
        <w:rPr>
          <w:rFonts w:ascii="Times New Roman" w:hAnsi="Times New Roman" w:cs="Times New Roman"/>
          <w:sz w:val="24"/>
          <w:szCs w:val="24"/>
          <w:lang w:val="en-US"/>
        </w:rPr>
        <w:t xml:space="preserve">on </w:t>
      </w:r>
      <w:r w:rsidR="00021180">
        <w:rPr>
          <w:rFonts w:ascii="Times New Roman" w:hAnsi="Times New Roman" w:cs="Times New Roman"/>
          <w:sz w:val="24"/>
          <w:szCs w:val="24"/>
          <w:lang w:val="en-US"/>
        </w:rPr>
        <w:t xml:space="preserve">the </w:t>
      </w:r>
      <w:r w:rsidR="0098198D">
        <w:rPr>
          <w:rFonts w:ascii="Times New Roman" w:hAnsi="Times New Roman" w:cs="Times New Roman"/>
          <w:sz w:val="24"/>
          <w:szCs w:val="24"/>
          <w:lang w:val="en-US"/>
        </w:rPr>
        <w:t xml:space="preserve">effects of the </w:t>
      </w:r>
      <w:r w:rsidR="009E278C">
        <w:rPr>
          <w:rFonts w:ascii="Times New Roman" w:hAnsi="Times New Roman" w:cs="Times New Roman"/>
          <w:sz w:val="24"/>
          <w:szCs w:val="24"/>
          <w:lang w:val="en-US"/>
        </w:rPr>
        <w:t xml:space="preserve">different </w:t>
      </w:r>
      <w:r w:rsidR="0098198D">
        <w:rPr>
          <w:rFonts w:ascii="Times New Roman" w:hAnsi="Times New Roman" w:cs="Times New Roman"/>
          <w:sz w:val="24"/>
          <w:szCs w:val="24"/>
          <w:lang w:val="en-US"/>
        </w:rPr>
        <w:t>sustainability approach</w:t>
      </w:r>
      <w:r w:rsidR="009E278C">
        <w:rPr>
          <w:rFonts w:ascii="Times New Roman" w:hAnsi="Times New Roman" w:cs="Times New Roman"/>
          <w:sz w:val="24"/>
          <w:szCs w:val="24"/>
          <w:lang w:val="en-US"/>
        </w:rPr>
        <w:t>es</w:t>
      </w:r>
      <w:r w:rsidR="00A9424B">
        <w:rPr>
          <w:rFonts w:ascii="Times New Roman" w:hAnsi="Times New Roman" w:cs="Times New Roman"/>
          <w:sz w:val="24"/>
          <w:szCs w:val="24"/>
          <w:lang w:val="en-US"/>
        </w:rPr>
        <w:t>.</w:t>
      </w:r>
      <w:r w:rsidR="00021180">
        <w:rPr>
          <w:rFonts w:ascii="Times New Roman" w:hAnsi="Times New Roman" w:cs="Times New Roman"/>
          <w:sz w:val="24"/>
          <w:szCs w:val="24"/>
          <w:lang w:val="en-US"/>
        </w:rPr>
        <w:t xml:space="preserve"> </w:t>
      </w:r>
      <w:bookmarkStart w:id="3" w:name="_Hlk93046293"/>
      <w:r w:rsidR="00044DF4">
        <w:rPr>
          <w:rFonts w:ascii="Times New Roman" w:hAnsi="Times New Roman" w:cs="Times New Roman"/>
          <w:sz w:val="24"/>
          <w:szCs w:val="24"/>
          <w:lang w:val="en-US"/>
        </w:rPr>
        <w:t>In particular, w</w:t>
      </w:r>
      <w:r w:rsidR="00F75BD0">
        <w:rPr>
          <w:rFonts w:ascii="Times New Roman" w:hAnsi="Times New Roman" w:cs="Times New Roman"/>
          <w:sz w:val="24"/>
          <w:szCs w:val="24"/>
          <w:lang w:val="en-US"/>
        </w:rPr>
        <w:t>e draw from</w:t>
      </w:r>
      <w:r w:rsidR="00F75BD0" w:rsidRPr="00D47875">
        <w:rPr>
          <w:rFonts w:ascii="Times New Roman" w:hAnsi="Times New Roman" w:cs="Times New Roman"/>
          <w:sz w:val="24"/>
          <w:szCs w:val="24"/>
          <w:lang w:val="en-US"/>
        </w:rPr>
        <w:t xml:space="preserve"> </w:t>
      </w:r>
      <w:r w:rsidR="00087047" w:rsidRPr="00D47875">
        <w:rPr>
          <w:rFonts w:ascii="Times New Roman" w:hAnsi="Times New Roman" w:cs="Times New Roman"/>
          <w:sz w:val="24"/>
          <w:szCs w:val="24"/>
          <w:lang w:val="en-US"/>
        </w:rPr>
        <w:t>the notion</w:t>
      </w:r>
      <w:r w:rsidR="00087047">
        <w:rPr>
          <w:rFonts w:ascii="Times New Roman" w:hAnsi="Times New Roman" w:cs="Times New Roman"/>
          <w:sz w:val="24"/>
          <w:szCs w:val="24"/>
          <w:lang w:val="en-US"/>
        </w:rPr>
        <w:t xml:space="preserve"> </w:t>
      </w:r>
      <w:r w:rsidR="00F75BD0">
        <w:rPr>
          <w:rFonts w:ascii="Times New Roman" w:hAnsi="Times New Roman" w:cs="Times New Roman"/>
          <w:sz w:val="24"/>
          <w:szCs w:val="24"/>
          <w:lang w:val="en-US"/>
        </w:rPr>
        <w:t>of “leading” and “greening” approaches.</w:t>
      </w:r>
      <w:r w:rsidR="00044DF4">
        <w:rPr>
          <w:rFonts w:ascii="Times New Roman" w:hAnsi="Times New Roman" w:cs="Times New Roman"/>
          <w:sz w:val="24"/>
          <w:szCs w:val="24"/>
          <w:lang w:val="en-US"/>
        </w:rPr>
        <w:t xml:space="preserve"> In this study, we</w:t>
      </w:r>
      <w:r w:rsidR="009E278C">
        <w:rPr>
          <w:rFonts w:ascii="Times New Roman" w:hAnsi="Times New Roman" w:cs="Times New Roman"/>
          <w:sz w:val="24"/>
          <w:szCs w:val="24"/>
          <w:lang w:val="en-US"/>
        </w:rPr>
        <w:t xml:space="preserve"> compare the impact on buyer performance of having a higher </w:t>
      </w:r>
      <w:r w:rsidR="00DD6460">
        <w:rPr>
          <w:rFonts w:ascii="Times New Roman" w:hAnsi="Times New Roman" w:cs="Times New Roman"/>
          <w:sz w:val="24"/>
          <w:szCs w:val="24"/>
          <w:lang w:val="en-US"/>
        </w:rPr>
        <w:t>(</w:t>
      </w:r>
      <w:r w:rsidR="00AA0166">
        <w:rPr>
          <w:rFonts w:ascii="Times New Roman" w:hAnsi="Times New Roman" w:cs="Times New Roman"/>
          <w:sz w:val="24"/>
          <w:szCs w:val="24"/>
          <w:lang w:val="en-US"/>
        </w:rPr>
        <w:t>i.e.,</w:t>
      </w:r>
      <w:r w:rsidR="00DD6460">
        <w:rPr>
          <w:rFonts w:ascii="Times New Roman" w:hAnsi="Times New Roman" w:cs="Times New Roman"/>
          <w:sz w:val="24"/>
          <w:szCs w:val="24"/>
          <w:lang w:val="en-US"/>
        </w:rPr>
        <w:t xml:space="preserve"> leading</w:t>
      </w:r>
      <w:r w:rsidR="008D4D42">
        <w:rPr>
          <w:rFonts w:ascii="Times New Roman" w:hAnsi="Times New Roman" w:cs="Times New Roman"/>
          <w:sz w:val="24"/>
          <w:szCs w:val="24"/>
          <w:lang w:val="en-US"/>
        </w:rPr>
        <w:t xml:space="preserve"> approach</w:t>
      </w:r>
      <w:r w:rsidR="00DD6460">
        <w:rPr>
          <w:rFonts w:ascii="Times New Roman" w:hAnsi="Times New Roman" w:cs="Times New Roman"/>
          <w:sz w:val="24"/>
          <w:szCs w:val="24"/>
          <w:lang w:val="en-US"/>
        </w:rPr>
        <w:t xml:space="preserve">) </w:t>
      </w:r>
      <w:r w:rsidR="009E278C">
        <w:rPr>
          <w:rFonts w:ascii="Times New Roman" w:hAnsi="Times New Roman" w:cs="Times New Roman"/>
          <w:sz w:val="24"/>
          <w:szCs w:val="24"/>
          <w:lang w:val="en-US"/>
        </w:rPr>
        <w:t>or</w:t>
      </w:r>
      <w:r w:rsidR="00A00700">
        <w:rPr>
          <w:rFonts w:ascii="Times New Roman" w:hAnsi="Times New Roman" w:cs="Times New Roman"/>
          <w:sz w:val="24"/>
          <w:szCs w:val="24"/>
          <w:lang w:val="en-US"/>
        </w:rPr>
        <w:t xml:space="preserve"> lower</w:t>
      </w:r>
      <w:r w:rsidR="00A00700" w:rsidRPr="00772417">
        <w:rPr>
          <w:rFonts w:ascii="Times New Roman" w:hAnsi="Times New Roman" w:cs="Times New Roman"/>
          <w:sz w:val="24"/>
          <w:szCs w:val="24"/>
          <w:lang w:val="en-US"/>
        </w:rPr>
        <w:t xml:space="preserve"> </w:t>
      </w:r>
      <w:r w:rsidR="00DD6460">
        <w:rPr>
          <w:rFonts w:ascii="Times New Roman" w:hAnsi="Times New Roman" w:cs="Times New Roman"/>
          <w:sz w:val="24"/>
          <w:szCs w:val="24"/>
          <w:lang w:val="en-US"/>
        </w:rPr>
        <w:t>(</w:t>
      </w:r>
      <w:r w:rsidR="00AA0166">
        <w:rPr>
          <w:rFonts w:ascii="Times New Roman" w:hAnsi="Times New Roman" w:cs="Times New Roman"/>
          <w:sz w:val="24"/>
          <w:szCs w:val="24"/>
          <w:lang w:val="en-US"/>
        </w:rPr>
        <w:t>i.e.,</w:t>
      </w:r>
      <w:r w:rsidR="00DD6460">
        <w:rPr>
          <w:rFonts w:ascii="Times New Roman" w:hAnsi="Times New Roman" w:cs="Times New Roman"/>
          <w:sz w:val="24"/>
          <w:szCs w:val="24"/>
          <w:lang w:val="en-US"/>
        </w:rPr>
        <w:t xml:space="preserve"> greening</w:t>
      </w:r>
      <w:r w:rsidR="008D4D42">
        <w:rPr>
          <w:rFonts w:ascii="Times New Roman" w:hAnsi="Times New Roman" w:cs="Times New Roman"/>
          <w:sz w:val="24"/>
          <w:szCs w:val="24"/>
          <w:lang w:val="en-US"/>
        </w:rPr>
        <w:t xml:space="preserve"> approach</w:t>
      </w:r>
      <w:r w:rsidR="00DD6460">
        <w:rPr>
          <w:rFonts w:ascii="Times New Roman" w:hAnsi="Times New Roman" w:cs="Times New Roman"/>
          <w:sz w:val="24"/>
          <w:szCs w:val="24"/>
          <w:lang w:val="en-US"/>
        </w:rPr>
        <w:t xml:space="preserve">) </w:t>
      </w:r>
      <w:r w:rsidR="00A00700" w:rsidRPr="00772417">
        <w:rPr>
          <w:rFonts w:ascii="Times New Roman" w:hAnsi="Times New Roman" w:cs="Times New Roman"/>
          <w:sz w:val="24"/>
          <w:szCs w:val="24"/>
          <w:lang w:val="en-US"/>
        </w:rPr>
        <w:t>sustainability</w:t>
      </w:r>
      <w:r w:rsidR="00A00700">
        <w:rPr>
          <w:rFonts w:ascii="Times New Roman" w:hAnsi="Times New Roman" w:cs="Times New Roman"/>
          <w:sz w:val="24"/>
          <w:szCs w:val="24"/>
          <w:lang w:val="en-US"/>
        </w:rPr>
        <w:t xml:space="preserve"> </w:t>
      </w:r>
      <w:r w:rsidR="008D4D42">
        <w:rPr>
          <w:rFonts w:ascii="Times New Roman" w:hAnsi="Times New Roman" w:cs="Times New Roman"/>
          <w:sz w:val="24"/>
          <w:szCs w:val="24"/>
          <w:lang w:val="en-US"/>
        </w:rPr>
        <w:t xml:space="preserve">development level </w:t>
      </w:r>
      <w:r w:rsidR="00A00700">
        <w:rPr>
          <w:rFonts w:ascii="Times New Roman" w:hAnsi="Times New Roman" w:cs="Times New Roman"/>
          <w:sz w:val="24"/>
          <w:szCs w:val="24"/>
          <w:lang w:val="en-US"/>
        </w:rPr>
        <w:t>than their top suppliers</w:t>
      </w:r>
      <w:r w:rsidR="008E4516">
        <w:rPr>
          <w:rFonts w:ascii="Times New Roman" w:hAnsi="Times New Roman" w:cs="Times New Roman"/>
          <w:sz w:val="24"/>
          <w:szCs w:val="24"/>
          <w:lang w:val="en-US"/>
        </w:rPr>
        <w:t>.</w:t>
      </w:r>
      <w:r w:rsidR="00997AD9">
        <w:rPr>
          <w:rFonts w:ascii="Times New Roman" w:hAnsi="Times New Roman" w:cs="Times New Roman"/>
          <w:sz w:val="24"/>
          <w:szCs w:val="24"/>
          <w:lang w:val="en-US"/>
        </w:rPr>
        <w:t xml:space="preserve"> </w:t>
      </w:r>
      <w:bookmarkEnd w:id="3"/>
    </w:p>
    <w:p w14:paraId="02A63B33" w14:textId="7DB72032" w:rsidR="00A9424B" w:rsidRDefault="006D2FD7" w:rsidP="00A9424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paper </w:t>
      </w:r>
      <w:r w:rsidR="00631D4E">
        <w:rPr>
          <w:rFonts w:ascii="Times New Roman" w:hAnsi="Times New Roman" w:cs="Times New Roman"/>
          <w:sz w:val="24"/>
          <w:szCs w:val="24"/>
          <w:lang w:val="en-US"/>
        </w:rPr>
        <w:t xml:space="preserve">is structured as </w:t>
      </w:r>
      <w:r w:rsidR="0000452B">
        <w:rPr>
          <w:rFonts w:ascii="Times New Roman" w:hAnsi="Times New Roman" w:cs="Times New Roman"/>
          <w:sz w:val="24"/>
          <w:szCs w:val="24"/>
          <w:lang w:val="en-US"/>
        </w:rPr>
        <w:t>follows</w:t>
      </w:r>
      <w:r w:rsidR="00631D4E">
        <w:rPr>
          <w:rFonts w:ascii="Times New Roman" w:hAnsi="Times New Roman" w:cs="Times New Roman"/>
          <w:sz w:val="24"/>
          <w:szCs w:val="24"/>
          <w:lang w:val="en-US"/>
        </w:rPr>
        <w:t xml:space="preserve">: the next section </w:t>
      </w:r>
      <w:r w:rsidR="00A9424B" w:rsidRPr="00873B4D">
        <w:rPr>
          <w:rFonts w:ascii="Times New Roman" w:hAnsi="Times New Roman" w:cs="Times New Roman"/>
          <w:sz w:val="24"/>
          <w:szCs w:val="24"/>
          <w:lang w:val="en-US"/>
        </w:rPr>
        <w:t>briefly provide</w:t>
      </w:r>
      <w:r w:rsidR="00631D4E">
        <w:rPr>
          <w:rFonts w:ascii="Times New Roman" w:hAnsi="Times New Roman" w:cs="Times New Roman"/>
          <w:sz w:val="24"/>
          <w:szCs w:val="24"/>
          <w:lang w:val="en-US"/>
        </w:rPr>
        <w:t>s</w:t>
      </w:r>
      <w:r w:rsidR="00A9424B" w:rsidRPr="00873B4D">
        <w:rPr>
          <w:rFonts w:ascii="Times New Roman" w:hAnsi="Times New Roman" w:cs="Times New Roman"/>
          <w:sz w:val="24"/>
          <w:szCs w:val="24"/>
          <w:lang w:val="en-US"/>
        </w:rPr>
        <w:t xml:space="preserve"> </w:t>
      </w:r>
      <w:r w:rsidR="00631D4E">
        <w:rPr>
          <w:rFonts w:ascii="Times New Roman" w:hAnsi="Times New Roman" w:cs="Times New Roman"/>
          <w:sz w:val="24"/>
          <w:szCs w:val="24"/>
          <w:lang w:val="en-US"/>
        </w:rPr>
        <w:t>the</w:t>
      </w:r>
      <w:r w:rsidR="00A9424B" w:rsidRPr="00873B4D">
        <w:rPr>
          <w:rFonts w:ascii="Times New Roman" w:hAnsi="Times New Roman" w:cs="Times New Roman"/>
          <w:sz w:val="24"/>
          <w:szCs w:val="24"/>
          <w:lang w:val="en-US"/>
        </w:rPr>
        <w:t xml:space="preserve"> theoretical backgr</w:t>
      </w:r>
      <w:r w:rsidR="00A9424B">
        <w:rPr>
          <w:rFonts w:ascii="Times New Roman" w:hAnsi="Times New Roman" w:cs="Times New Roman"/>
          <w:sz w:val="24"/>
          <w:szCs w:val="24"/>
          <w:lang w:val="en-US"/>
        </w:rPr>
        <w:t xml:space="preserve">ound </w:t>
      </w:r>
      <w:r w:rsidR="0000452B">
        <w:rPr>
          <w:rFonts w:ascii="Times New Roman" w:hAnsi="Times New Roman" w:cs="Times New Roman"/>
          <w:sz w:val="24"/>
          <w:szCs w:val="24"/>
          <w:lang w:val="en-US"/>
        </w:rPr>
        <w:t xml:space="preserve">on </w:t>
      </w:r>
      <w:r w:rsidR="00A9424B">
        <w:rPr>
          <w:rFonts w:ascii="Times New Roman" w:hAnsi="Times New Roman" w:cs="Times New Roman"/>
          <w:sz w:val="24"/>
          <w:szCs w:val="24"/>
          <w:lang w:val="en-US"/>
        </w:rPr>
        <w:t>legitimacy</w:t>
      </w:r>
      <w:r w:rsidR="00A81EF5">
        <w:rPr>
          <w:rFonts w:ascii="Times New Roman" w:hAnsi="Times New Roman" w:cs="Times New Roman"/>
          <w:sz w:val="24"/>
          <w:szCs w:val="24"/>
          <w:lang w:val="en-US"/>
        </w:rPr>
        <w:t xml:space="preserve"> </w:t>
      </w:r>
      <w:r>
        <w:rPr>
          <w:rFonts w:ascii="Times New Roman" w:hAnsi="Times New Roman" w:cs="Times New Roman"/>
          <w:sz w:val="24"/>
          <w:szCs w:val="24"/>
          <w:lang w:val="en-US"/>
        </w:rPr>
        <w:t>and asymmetry</w:t>
      </w:r>
      <w:r w:rsidR="00CF29B5">
        <w:rPr>
          <w:rFonts w:ascii="Times New Roman" w:hAnsi="Times New Roman" w:cs="Times New Roman"/>
          <w:sz w:val="24"/>
          <w:szCs w:val="24"/>
          <w:lang w:val="en-US"/>
        </w:rPr>
        <w:t>,</w:t>
      </w:r>
      <w:r>
        <w:rPr>
          <w:rFonts w:ascii="Times New Roman" w:hAnsi="Times New Roman" w:cs="Times New Roman"/>
          <w:sz w:val="24"/>
          <w:szCs w:val="24"/>
          <w:lang w:val="en-US"/>
        </w:rPr>
        <w:t xml:space="preserve"> and</w:t>
      </w:r>
      <w:r w:rsidR="00A9424B" w:rsidRPr="00873B4D">
        <w:rPr>
          <w:rFonts w:ascii="Times New Roman" w:hAnsi="Times New Roman" w:cs="Times New Roman"/>
          <w:sz w:val="24"/>
          <w:szCs w:val="24"/>
          <w:lang w:val="en-US"/>
        </w:rPr>
        <w:t xml:space="preserve"> </w:t>
      </w:r>
      <w:r w:rsidR="003A68D2" w:rsidRPr="00873B4D">
        <w:rPr>
          <w:rFonts w:ascii="Times New Roman" w:hAnsi="Times New Roman" w:cs="Times New Roman"/>
          <w:sz w:val="24"/>
          <w:szCs w:val="24"/>
          <w:lang w:val="en-US"/>
        </w:rPr>
        <w:t>theori</w:t>
      </w:r>
      <w:r w:rsidR="003A68D2">
        <w:rPr>
          <w:rFonts w:ascii="Times New Roman" w:hAnsi="Times New Roman" w:cs="Times New Roman"/>
          <w:sz w:val="24"/>
          <w:szCs w:val="24"/>
          <w:lang w:val="en-US"/>
        </w:rPr>
        <w:t>z</w:t>
      </w:r>
      <w:r w:rsidR="003A68D2" w:rsidRPr="00873B4D">
        <w:rPr>
          <w:rFonts w:ascii="Times New Roman" w:hAnsi="Times New Roman" w:cs="Times New Roman"/>
          <w:sz w:val="24"/>
          <w:szCs w:val="24"/>
          <w:lang w:val="en-US"/>
        </w:rPr>
        <w:t>e</w:t>
      </w:r>
      <w:r w:rsidR="003A68D2">
        <w:rPr>
          <w:rFonts w:ascii="Times New Roman" w:hAnsi="Times New Roman" w:cs="Times New Roman"/>
          <w:sz w:val="24"/>
          <w:szCs w:val="24"/>
          <w:lang w:val="en-US"/>
        </w:rPr>
        <w:t>s</w:t>
      </w:r>
      <w:r w:rsidR="00A9424B" w:rsidRPr="00873B4D">
        <w:rPr>
          <w:rFonts w:ascii="Times New Roman" w:hAnsi="Times New Roman" w:cs="Times New Roman"/>
          <w:sz w:val="24"/>
          <w:szCs w:val="24"/>
          <w:lang w:val="en-US"/>
        </w:rPr>
        <w:t xml:space="preserve"> about the effects of sustainability asymmetries on </w:t>
      </w:r>
      <w:r w:rsidR="00A9424B">
        <w:rPr>
          <w:rFonts w:ascii="Times New Roman" w:hAnsi="Times New Roman" w:cs="Times New Roman"/>
          <w:sz w:val="24"/>
          <w:szCs w:val="24"/>
          <w:lang w:val="en-US"/>
        </w:rPr>
        <w:t xml:space="preserve">the </w:t>
      </w:r>
      <w:r w:rsidR="00A9424B" w:rsidRPr="00873B4D">
        <w:rPr>
          <w:rFonts w:ascii="Times New Roman" w:hAnsi="Times New Roman" w:cs="Times New Roman"/>
          <w:sz w:val="24"/>
          <w:szCs w:val="24"/>
          <w:lang w:val="en-US"/>
        </w:rPr>
        <w:t xml:space="preserve">buyer’s </w:t>
      </w:r>
      <w:r w:rsidR="00A81EF5">
        <w:rPr>
          <w:rFonts w:ascii="Times New Roman" w:hAnsi="Times New Roman" w:cs="Times New Roman"/>
          <w:sz w:val="24"/>
          <w:szCs w:val="24"/>
          <w:lang w:val="en-US"/>
        </w:rPr>
        <w:t xml:space="preserve">financial and market </w:t>
      </w:r>
      <w:r w:rsidR="00A9424B" w:rsidRPr="00873B4D">
        <w:rPr>
          <w:rFonts w:ascii="Times New Roman" w:hAnsi="Times New Roman" w:cs="Times New Roman"/>
          <w:sz w:val="24"/>
          <w:szCs w:val="24"/>
          <w:lang w:val="en-US"/>
        </w:rPr>
        <w:t xml:space="preserve">performance, proposing </w:t>
      </w:r>
      <w:r w:rsidR="00A9424B">
        <w:rPr>
          <w:rFonts w:ascii="Times New Roman" w:hAnsi="Times New Roman" w:cs="Times New Roman"/>
          <w:sz w:val="24"/>
          <w:szCs w:val="24"/>
          <w:lang w:val="en-US"/>
        </w:rPr>
        <w:t>several</w:t>
      </w:r>
      <w:r w:rsidR="00A9424B" w:rsidRPr="00873B4D">
        <w:rPr>
          <w:rFonts w:ascii="Times New Roman" w:hAnsi="Times New Roman" w:cs="Times New Roman"/>
          <w:sz w:val="24"/>
          <w:szCs w:val="24"/>
          <w:lang w:val="en-US"/>
        </w:rPr>
        <w:t xml:space="preserve"> hypotheses to be tested. </w:t>
      </w:r>
      <w:r w:rsidR="00A9424B">
        <w:rPr>
          <w:rFonts w:ascii="Times New Roman" w:hAnsi="Times New Roman" w:cs="Times New Roman"/>
          <w:sz w:val="24"/>
          <w:szCs w:val="24"/>
          <w:lang w:val="en-US"/>
        </w:rPr>
        <w:t>This is followed by detailed data description, variables</w:t>
      </w:r>
      <w:r w:rsidR="00CF29B5">
        <w:rPr>
          <w:rFonts w:ascii="Times New Roman" w:hAnsi="Times New Roman" w:cs="Times New Roman"/>
          <w:sz w:val="24"/>
          <w:szCs w:val="24"/>
          <w:lang w:val="en-US"/>
        </w:rPr>
        <w:t>,</w:t>
      </w:r>
      <w:r w:rsidR="00A9424B">
        <w:rPr>
          <w:rFonts w:ascii="Times New Roman" w:hAnsi="Times New Roman" w:cs="Times New Roman"/>
          <w:sz w:val="24"/>
          <w:szCs w:val="24"/>
          <w:lang w:val="en-US"/>
        </w:rPr>
        <w:t xml:space="preserve"> and applied methods. We then present the </w:t>
      </w:r>
      <w:r w:rsidR="00A9424B" w:rsidRPr="00873B4D">
        <w:rPr>
          <w:rFonts w:ascii="Times New Roman" w:hAnsi="Times New Roman" w:cs="Times New Roman"/>
          <w:sz w:val="24"/>
          <w:szCs w:val="24"/>
          <w:lang w:val="en-US"/>
        </w:rPr>
        <w:t>main results derived from the analysis</w:t>
      </w:r>
      <w:r w:rsidR="00631D4E">
        <w:rPr>
          <w:rFonts w:ascii="Times New Roman" w:hAnsi="Times New Roman" w:cs="Times New Roman"/>
          <w:sz w:val="24"/>
          <w:szCs w:val="24"/>
          <w:lang w:val="en-US"/>
        </w:rPr>
        <w:t>. The final section contains further discussions and the primary conclusions, including certain managerial implications</w:t>
      </w:r>
      <w:r w:rsidR="00A9424B" w:rsidRPr="00873B4D">
        <w:rPr>
          <w:rFonts w:ascii="Times New Roman" w:hAnsi="Times New Roman" w:cs="Times New Roman"/>
          <w:sz w:val="24"/>
          <w:szCs w:val="24"/>
          <w:lang w:val="en-US"/>
        </w:rPr>
        <w:t>.</w:t>
      </w:r>
    </w:p>
    <w:p w14:paraId="621C9F60" w14:textId="77777777" w:rsidR="005D29FA" w:rsidRPr="00873B4D" w:rsidRDefault="005D29FA" w:rsidP="00A9424B">
      <w:pPr>
        <w:spacing w:line="480" w:lineRule="auto"/>
        <w:jc w:val="both"/>
        <w:rPr>
          <w:rFonts w:ascii="Times New Roman" w:hAnsi="Times New Roman" w:cs="Times New Roman"/>
          <w:sz w:val="24"/>
          <w:szCs w:val="24"/>
          <w:lang w:val="en-US"/>
        </w:rPr>
      </w:pPr>
    </w:p>
    <w:p w14:paraId="4BD6090B" w14:textId="2D6D8448" w:rsidR="00CD05D9" w:rsidRDefault="00CD05D9" w:rsidP="00CD05D9">
      <w:pPr>
        <w:pStyle w:val="Ttulo1"/>
      </w:pPr>
      <w:r>
        <w:t xml:space="preserve">2. </w:t>
      </w:r>
      <w:r w:rsidRPr="00873B4D">
        <w:t>T</w:t>
      </w:r>
      <w:r w:rsidR="00D1660C">
        <w:t xml:space="preserve">heoretical background and hypotheses development </w:t>
      </w:r>
    </w:p>
    <w:p w14:paraId="6D25C4AF" w14:textId="77777777" w:rsidR="00D05C39" w:rsidRPr="00D05C39" w:rsidRDefault="00D05C39" w:rsidP="00D05C39">
      <w:pPr>
        <w:rPr>
          <w:lang w:val="en-US"/>
        </w:rPr>
      </w:pPr>
    </w:p>
    <w:p w14:paraId="5CF757AC" w14:textId="755B1CDD" w:rsidR="00CD05D9" w:rsidRPr="00D1660C" w:rsidRDefault="00CD05D9" w:rsidP="00CD05D9">
      <w:pPr>
        <w:spacing w:line="480" w:lineRule="auto"/>
        <w:jc w:val="both"/>
        <w:rPr>
          <w:rFonts w:ascii="Times New Roman" w:hAnsi="Times New Roman" w:cs="Times New Roman"/>
          <w:i/>
          <w:sz w:val="24"/>
          <w:szCs w:val="24"/>
          <w:lang w:val="en-US"/>
        </w:rPr>
      </w:pPr>
      <w:r w:rsidRPr="00D1660C">
        <w:rPr>
          <w:rFonts w:ascii="Times New Roman" w:hAnsi="Times New Roman" w:cs="Times New Roman"/>
          <w:i/>
          <w:sz w:val="24"/>
          <w:szCs w:val="24"/>
          <w:lang w:val="en-US"/>
        </w:rPr>
        <w:t>2.1 Legitimacy</w:t>
      </w:r>
      <w:r w:rsidR="005D29FA" w:rsidRPr="00D1660C">
        <w:rPr>
          <w:rFonts w:ascii="Times New Roman" w:hAnsi="Times New Roman" w:cs="Times New Roman"/>
          <w:i/>
          <w:sz w:val="24"/>
          <w:szCs w:val="24"/>
          <w:lang w:val="en-US"/>
        </w:rPr>
        <w:t xml:space="preserve"> and </w:t>
      </w:r>
      <w:r w:rsidRPr="00D1660C">
        <w:rPr>
          <w:rFonts w:ascii="Times New Roman" w:hAnsi="Times New Roman" w:cs="Times New Roman"/>
          <w:i/>
          <w:sz w:val="24"/>
          <w:szCs w:val="24"/>
          <w:lang w:val="en-US"/>
        </w:rPr>
        <w:t>sustainable supply chains</w:t>
      </w:r>
    </w:p>
    <w:p w14:paraId="17EB431E" w14:textId="5F898EB8" w:rsidR="00CD05D9" w:rsidRPr="00982181" w:rsidRDefault="00CD05D9" w:rsidP="00CD05D9">
      <w:pPr>
        <w:spacing w:line="480" w:lineRule="auto"/>
        <w:jc w:val="both"/>
        <w:rPr>
          <w:rFonts w:ascii="Times New Roman" w:hAnsi="Times New Roman" w:cs="Times New Roman"/>
          <w:sz w:val="24"/>
          <w:szCs w:val="24"/>
          <w:lang w:val="en-US"/>
        </w:rPr>
      </w:pPr>
      <w:r w:rsidRPr="0032075F">
        <w:rPr>
          <w:rFonts w:ascii="Times New Roman" w:hAnsi="Times New Roman" w:cs="Times New Roman"/>
          <w:sz w:val="24"/>
          <w:szCs w:val="24"/>
          <w:lang w:val="en-US"/>
        </w:rPr>
        <w:t>Institutional scholars have argued that in addition to organizational efficiency, legitimacy –</w:t>
      </w:r>
      <w:r w:rsidR="00395886">
        <w:rPr>
          <w:rFonts w:ascii="Times New Roman" w:hAnsi="Times New Roman" w:cs="Times New Roman"/>
          <w:sz w:val="24"/>
          <w:szCs w:val="24"/>
          <w:lang w:val="en-US"/>
        </w:rPr>
        <w:t xml:space="preserve"> </w:t>
      </w:r>
      <w:r w:rsidR="00416E91">
        <w:rPr>
          <w:rFonts w:ascii="Times New Roman" w:hAnsi="Times New Roman" w:cs="Times New Roman"/>
          <w:sz w:val="24"/>
          <w:szCs w:val="24"/>
          <w:lang w:val="en-US"/>
        </w:rPr>
        <w:t xml:space="preserve">i.e., </w:t>
      </w:r>
      <w:r w:rsidRPr="0032075F">
        <w:rPr>
          <w:rFonts w:ascii="Times New Roman" w:hAnsi="Times New Roman" w:cs="Times New Roman"/>
          <w:sz w:val="24"/>
          <w:szCs w:val="24"/>
          <w:lang w:val="en-US"/>
        </w:rPr>
        <w:t xml:space="preserve">conformity </w:t>
      </w:r>
      <w:r w:rsidR="0000452B">
        <w:rPr>
          <w:rFonts w:ascii="Times New Roman" w:hAnsi="Times New Roman" w:cs="Times New Roman"/>
          <w:sz w:val="24"/>
          <w:szCs w:val="24"/>
          <w:lang w:val="en-US"/>
        </w:rPr>
        <w:t>to</w:t>
      </w:r>
      <w:r w:rsidR="0000452B" w:rsidRPr="0032075F">
        <w:rPr>
          <w:rFonts w:ascii="Times New Roman" w:hAnsi="Times New Roman" w:cs="Times New Roman"/>
          <w:sz w:val="24"/>
          <w:szCs w:val="24"/>
          <w:lang w:val="en-US"/>
        </w:rPr>
        <w:t xml:space="preserve"> </w:t>
      </w:r>
      <w:r w:rsidRPr="0032075F">
        <w:rPr>
          <w:rFonts w:ascii="Times New Roman" w:hAnsi="Times New Roman" w:cs="Times New Roman"/>
          <w:sz w:val="24"/>
          <w:szCs w:val="24"/>
          <w:lang w:val="en-US"/>
        </w:rPr>
        <w:t>the standards, rules</w:t>
      </w:r>
      <w:r w:rsidR="00395886">
        <w:rPr>
          <w:rFonts w:ascii="Times New Roman" w:hAnsi="Times New Roman" w:cs="Times New Roman"/>
          <w:sz w:val="24"/>
          <w:szCs w:val="24"/>
          <w:lang w:val="en-US"/>
        </w:rPr>
        <w:t>,</w:t>
      </w:r>
      <w:r w:rsidRPr="0032075F">
        <w:rPr>
          <w:rFonts w:ascii="Times New Roman" w:hAnsi="Times New Roman" w:cs="Times New Roman"/>
          <w:sz w:val="24"/>
          <w:szCs w:val="24"/>
          <w:lang w:val="en-US"/>
        </w:rPr>
        <w:t xml:space="preserve"> and </w:t>
      </w:r>
      <w:r w:rsidRPr="00E057FE">
        <w:rPr>
          <w:rFonts w:ascii="Times New Roman" w:hAnsi="Times New Roman" w:cs="Times New Roman"/>
          <w:sz w:val="24"/>
          <w:szCs w:val="24"/>
          <w:lang w:val="en-US"/>
        </w:rPr>
        <w:t>beliefs of the reference context</w:t>
      </w:r>
      <w:r w:rsidR="00395886" w:rsidRPr="00E057FE">
        <w:rPr>
          <w:rFonts w:ascii="Times New Roman" w:hAnsi="Times New Roman" w:cs="Times New Roman"/>
          <w:sz w:val="24"/>
          <w:szCs w:val="24"/>
          <w:lang w:val="en-US"/>
        </w:rPr>
        <w:t xml:space="preserve"> –</w:t>
      </w:r>
      <w:r w:rsidRPr="00E057FE">
        <w:rPr>
          <w:rFonts w:ascii="Times New Roman" w:hAnsi="Times New Roman" w:cs="Times New Roman"/>
          <w:sz w:val="24"/>
          <w:szCs w:val="24"/>
          <w:lang w:val="en-US"/>
        </w:rPr>
        <w:t xml:space="preserve"> is critical to </w:t>
      </w:r>
      <w:r w:rsidR="00395886" w:rsidRPr="00982181">
        <w:rPr>
          <w:rFonts w:ascii="Times New Roman" w:hAnsi="Times New Roman" w:cs="Times New Roman"/>
          <w:sz w:val="24"/>
          <w:szCs w:val="24"/>
          <w:lang w:val="en-US"/>
        </w:rPr>
        <w:t xml:space="preserve">understanding </w:t>
      </w:r>
      <w:r w:rsidRPr="00982181">
        <w:rPr>
          <w:rFonts w:ascii="Times New Roman" w:hAnsi="Times New Roman" w:cs="Times New Roman"/>
          <w:sz w:val="24"/>
          <w:szCs w:val="24"/>
          <w:lang w:val="en-US"/>
        </w:rPr>
        <w:t xml:space="preserve">organizational growth and survival </w:t>
      </w:r>
      <w:r w:rsidR="00F3370E" w:rsidRPr="00982181">
        <w:rPr>
          <w:rFonts w:ascii="Times New Roman" w:hAnsi="Times New Roman" w:cs="Times New Roman"/>
          <w:sz w:val="24"/>
          <w:lang w:val="en-US"/>
        </w:rPr>
        <w:t>(Meyer and Rowan, 1977)</w:t>
      </w:r>
      <w:r w:rsidRPr="00982181">
        <w:rPr>
          <w:rFonts w:ascii="Times New Roman" w:hAnsi="Times New Roman" w:cs="Times New Roman"/>
          <w:sz w:val="24"/>
          <w:szCs w:val="24"/>
          <w:lang w:val="en-US"/>
        </w:rPr>
        <w:t xml:space="preserve">. </w:t>
      </w:r>
      <w:r w:rsidR="001E7AB7" w:rsidRPr="00982181">
        <w:rPr>
          <w:rFonts w:ascii="Times New Roman" w:hAnsi="Times New Roman" w:cs="Times New Roman"/>
          <w:sz w:val="24"/>
          <w:szCs w:val="24"/>
          <w:lang w:val="en-US"/>
        </w:rPr>
        <w:t xml:space="preserve">According to </w:t>
      </w:r>
      <w:r w:rsidR="006A72A5">
        <w:rPr>
          <w:rFonts w:ascii="Times New Roman" w:hAnsi="Times New Roman" w:cs="Times New Roman"/>
          <w:sz w:val="24"/>
          <w:szCs w:val="24"/>
          <w:lang w:val="en-US"/>
        </w:rPr>
        <w:t>Suddaby et al. (2017),</w:t>
      </w:r>
      <w:r w:rsidR="001E7AB7" w:rsidRPr="00E057FE">
        <w:rPr>
          <w:rFonts w:ascii="Times New Roman" w:hAnsi="Times New Roman" w:cs="Times New Roman"/>
          <w:sz w:val="24"/>
          <w:szCs w:val="24"/>
          <w:lang w:val="en-US"/>
        </w:rPr>
        <w:t xml:space="preserve"> legitimacy is a critical condition for corporate survival</w:t>
      </w:r>
      <w:r w:rsidR="0032075F" w:rsidRPr="00E057FE">
        <w:rPr>
          <w:rFonts w:ascii="Times New Roman" w:hAnsi="Times New Roman" w:cs="Times New Roman"/>
          <w:sz w:val="24"/>
          <w:szCs w:val="24"/>
          <w:lang w:val="en-US"/>
        </w:rPr>
        <w:t>,</w:t>
      </w:r>
      <w:r w:rsidR="001E7AB7" w:rsidRPr="00E057FE">
        <w:rPr>
          <w:rFonts w:ascii="Times New Roman" w:hAnsi="Times New Roman" w:cs="Times New Roman"/>
          <w:sz w:val="24"/>
          <w:szCs w:val="24"/>
          <w:lang w:val="en-US"/>
        </w:rPr>
        <w:t xml:space="preserve"> as it is</w:t>
      </w:r>
      <w:r w:rsidR="001E7AB7" w:rsidRPr="00982181">
        <w:rPr>
          <w:rFonts w:ascii="Times New Roman" w:hAnsi="Times New Roman" w:cs="Times New Roman"/>
          <w:sz w:val="24"/>
          <w:szCs w:val="24"/>
          <w:lang w:val="en-US"/>
        </w:rPr>
        <w:t xml:space="preserve"> </w:t>
      </w:r>
      <w:r w:rsidR="0031759A" w:rsidRPr="00982181">
        <w:rPr>
          <w:rFonts w:ascii="Times New Roman" w:hAnsi="Times New Roman" w:cs="Times New Roman"/>
          <w:sz w:val="24"/>
          <w:szCs w:val="24"/>
          <w:lang w:val="en-US"/>
        </w:rPr>
        <w:t xml:space="preserve">a </w:t>
      </w:r>
      <w:r w:rsidR="001E7AB7" w:rsidRPr="00982181">
        <w:rPr>
          <w:rFonts w:ascii="Times New Roman" w:hAnsi="Times New Roman" w:cs="Times New Roman"/>
          <w:sz w:val="24"/>
          <w:szCs w:val="24"/>
          <w:lang w:val="en-US"/>
        </w:rPr>
        <w:t xml:space="preserve">prerequisite for the flow of resources and </w:t>
      </w:r>
      <w:r w:rsidR="00395886" w:rsidRPr="00982181">
        <w:rPr>
          <w:rFonts w:ascii="Times New Roman" w:hAnsi="Times New Roman" w:cs="Times New Roman"/>
          <w:sz w:val="24"/>
          <w:szCs w:val="24"/>
          <w:lang w:val="en-US"/>
        </w:rPr>
        <w:t xml:space="preserve">stakeholders’ </w:t>
      </w:r>
      <w:r w:rsidR="001E7AB7" w:rsidRPr="00982181">
        <w:rPr>
          <w:rFonts w:ascii="Times New Roman" w:hAnsi="Times New Roman" w:cs="Times New Roman"/>
          <w:sz w:val="24"/>
          <w:szCs w:val="24"/>
          <w:lang w:val="en-US"/>
        </w:rPr>
        <w:t xml:space="preserve">support. </w:t>
      </w:r>
      <w:r w:rsidRPr="00982181">
        <w:rPr>
          <w:rFonts w:ascii="Times New Roman" w:hAnsi="Times New Roman" w:cs="Times New Roman"/>
          <w:sz w:val="24"/>
          <w:szCs w:val="24"/>
          <w:lang w:val="en-US"/>
        </w:rPr>
        <w:t xml:space="preserve">By building legitimacy, firms can have unrestricted access to the market </w:t>
      </w:r>
      <w:r w:rsidR="00F3370E" w:rsidRPr="00982181">
        <w:rPr>
          <w:rFonts w:ascii="Times New Roman" w:hAnsi="Times New Roman" w:cs="Times New Roman"/>
          <w:sz w:val="24"/>
          <w:lang w:val="en-US"/>
        </w:rPr>
        <w:t>(Brown, 1998)</w:t>
      </w:r>
      <w:r w:rsidRPr="00982181">
        <w:rPr>
          <w:rFonts w:ascii="Times New Roman" w:hAnsi="Times New Roman" w:cs="Times New Roman"/>
          <w:sz w:val="24"/>
          <w:szCs w:val="24"/>
          <w:lang w:val="en-US"/>
        </w:rPr>
        <w:t>, easy access to resources</w:t>
      </w:r>
      <w:r w:rsidR="001F4C60" w:rsidRPr="00982181">
        <w:rPr>
          <w:rFonts w:ascii="Times New Roman" w:hAnsi="Times New Roman" w:cs="Times New Roman"/>
          <w:sz w:val="24"/>
          <w:szCs w:val="24"/>
          <w:lang w:val="en-US"/>
        </w:rPr>
        <w:t xml:space="preserve"> </w:t>
      </w:r>
      <w:r w:rsidRPr="00982181">
        <w:rPr>
          <w:rFonts w:ascii="Times New Roman" w:hAnsi="Times New Roman" w:cs="Times New Roman"/>
          <w:sz w:val="24"/>
          <w:szCs w:val="24"/>
          <w:lang w:val="en-US"/>
        </w:rPr>
        <w:t xml:space="preserve">including the strategic ones they need to survive </w:t>
      </w:r>
      <w:r w:rsidR="00F3370E" w:rsidRPr="00982181">
        <w:rPr>
          <w:rFonts w:ascii="Times New Roman" w:hAnsi="Times New Roman" w:cs="Times New Roman"/>
          <w:sz w:val="24"/>
          <w:lang w:val="en-US"/>
        </w:rPr>
        <w:t xml:space="preserve">(Zimmerman and </w:t>
      </w:r>
      <w:proofErr w:type="spellStart"/>
      <w:r w:rsidR="00F3370E" w:rsidRPr="00982181">
        <w:rPr>
          <w:rFonts w:ascii="Times New Roman" w:hAnsi="Times New Roman" w:cs="Times New Roman"/>
          <w:sz w:val="24"/>
          <w:lang w:val="en-US"/>
        </w:rPr>
        <w:t>Zeitz</w:t>
      </w:r>
      <w:proofErr w:type="spellEnd"/>
      <w:r w:rsidR="00F3370E" w:rsidRPr="00982181">
        <w:rPr>
          <w:rFonts w:ascii="Times New Roman" w:hAnsi="Times New Roman" w:cs="Times New Roman"/>
          <w:sz w:val="24"/>
          <w:lang w:val="en-US"/>
        </w:rPr>
        <w:t>, 2002)</w:t>
      </w:r>
      <w:r w:rsidRPr="00982181">
        <w:rPr>
          <w:rFonts w:ascii="Times New Roman" w:hAnsi="Times New Roman" w:cs="Times New Roman"/>
          <w:sz w:val="24"/>
          <w:szCs w:val="24"/>
          <w:lang w:val="en-US"/>
        </w:rPr>
        <w:t xml:space="preserve">, </w:t>
      </w:r>
      <w:r w:rsidR="009278CB" w:rsidRPr="00982181">
        <w:rPr>
          <w:rFonts w:ascii="Times New Roman" w:hAnsi="Times New Roman" w:cs="Times New Roman"/>
          <w:sz w:val="24"/>
          <w:szCs w:val="24"/>
          <w:lang w:val="en-US"/>
        </w:rPr>
        <w:t xml:space="preserve">goodwill during </w:t>
      </w:r>
      <w:r w:rsidR="00395886" w:rsidRPr="00982181">
        <w:rPr>
          <w:rFonts w:ascii="Times New Roman" w:hAnsi="Times New Roman" w:cs="Times New Roman"/>
          <w:sz w:val="24"/>
          <w:szCs w:val="24"/>
          <w:lang w:val="en-US"/>
        </w:rPr>
        <w:t xml:space="preserve">a </w:t>
      </w:r>
      <w:r w:rsidR="009278CB" w:rsidRPr="00982181">
        <w:rPr>
          <w:rFonts w:ascii="Times New Roman" w:hAnsi="Times New Roman" w:cs="Times New Roman"/>
          <w:sz w:val="24"/>
          <w:szCs w:val="24"/>
          <w:lang w:val="en-US"/>
        </w:rPr>
        <w:t xml:space="preserve">time </w:t>
      </w:r>
      <w:r w:rsidR="00395886" w:rsidRPr="00982181">
        <w:rPr>
          <w:rFonts w:ascii="Times New Roman" w:hAnsi="Times New Roman" w:cs="Times New Roman"/>
          <w:sz w:val="24"/>
          <w:szCs w:val="24"/>
          <w:lang w:val="en-US"/>
        </w:rPr>
        <w:t xml:space="preserve">of </w:t>
      </w:r>
      <w:r w:rsidR="009278CB" w:rsidRPr="00982181">
        <w:rPr>
          <w:rFonts w:ascii="Times New Roman" w:hAnsi="Times New Roman" w:cs="Times New Roman"/>
          <w:sz w:val="24"/>
          <w:szCs w:val="24"/>
          <w:lang w:val="en-US"/>
        </w:rPr>
        <w:t xml:space="preserve">crisis </w:t>
      </w:r>
      <w:r w:rsidR="00F3370E" w:rsidRPr="00982181">
        <w:rPr>
          <w:rFonts w:ascii="Times New Roman" w:hAnsi="Times New Roman" w:cs="Times New Roman"/>
          <w:sz w:val="24"/>
          <w:lang w:val="en-US"/>
        </w:rPr>
        <w:t>(Godfrey and Hatch, 2007)</w:t>
      </w:r>
      <w:r w:rsidR="009278CB" w:rsidRPr="00982181">
        <w:rPr>
          <w:rFonts w:ascii="Times New Roman" w:hAnsi="Times New Roman" w:cs="Times New Roman"/>
          <w:sz w:val="24"/>
          <w:szCs w:val="24"/>
          <w:lang w:val="en-US"/>
        </w:rPr>
        <w:t xml:space="preserve">, </w:t>
      </w:r>
      <w:r w:rsidR="00395886" w:rsidRPr="00982181">
        <w:rPr>
          <w:rFonts w:ascii="Times New Roman" w:hAnsi="Times New Roman" w:cs="Times New Roman"/>
          <w:sz w:val="24"/>
          <w:szCs w:val="24"/>
          <w:lang w:val="en-US"/>
        </w:rPr>
        <w:t xml:space="preserve">be assured of </w:t>
      </w:r>
      <w:r w:rsidRPr="00982181">
        <w:rPr>
          <w:rFonts w:ascii="Times New Roman" w:hAnsi="Times New Roman" w:cs="Times New Roman"/>
          <w:sz w:val="24"/>
          <w:szCs w:val="24"/>
          <w:lang w:val="en-US"/>
        </w:rPr>
        <w:t xml:space="preserve">more business opportunities </w:t>
      </w:r>
      <w:r w:rsidR="00F3370E" w:rsidRPr="00982181">
        <w:rPr>
          <w:rFonts w:ascii="Times New Roman" w:hAnsi="Times New Roman" w:cs="Times New Roman"/>
          <w:sz w:val="24"/>
          <w:lang w:val="en-US"/>
        </w:rPr>
        <w:t xml:space="preserve">(Bansal and </w:t>
      </w:r>
      <w:proofErr w:type="spellStart"/>
      <w:r w:rsidR="00F3370E" w:rsidRPr="00982181">
        <w:rPr>
          <w:rFonts w:ascii="Times New Roman" w:hAnsi="Times New Roman" w:cs="Times New Roman"/>
          <w:sz w:val="24"/>
          <w:lang w:val="en-US"/>
        </w:rPr>
        <w:t>Clelland</w:t>
      </w:r>
      <w:proofErr w:type="spellEnd"/>
      <w:r w:rsidR="00F3370E" w:rsidRPr="00982181">
        <w:rPr>
          <w:rFonts w:ascii="Times New Roman" w:hAnsi="Times New Roman" w:cs="Times New Roman"/>
          <w:sz w:val="24"/>
          <w:lang w:val="en-US"/>
        </w:rPr>
        <w:t>, 2004)</w:t>
      </w:r>
      <w:r w:rsidR="009278CB" w:rsidRPr="00982181">
        <w:rPr>
          <w:rFonts w:ascii="Times New Roman" w:hAnsi="Times New Roman" w:cs="Times New Roman"/>
          <w:sz w:val="24"/>
          <w:szCs w:val="24"/>
          <w:lang w:val="en-US"/>
        </w:rPr>
        <w:t>, garner stakeholder approval</w:t>
      </w:r>
      <w:r w:rsidR="00DE6F76" w:rsidRPr="00982181">
        <w:rPr>
          <w:rFonts w:ascii="Times New Roman" w:hAnsi="Times New Roman" w:cs="Times New Roman"/>
          <w:sz w:val="24"/>
          <w:szCs w:val="24"/>
          <w:lang w:val="en-US"/>
        </w:rPr>
        <w:t xml:space="preserve"> </w:t>
      </w:r>
      <w:r w:rsidR="00F3370E" w:rsidRPr="00982181">
        <w:rPr>
          <w:rFonts w:ascii="Times New Roman" w:hAnsi="Times New Roman" w:cs="Times New Roman"/>
          <w:sz w:val="24"/>
          <w:lang w:val="en-US"/>
        </w:rPr>
        <w:lastRenderedPageBreak/>
        <w:t>(Rao, 1994)</w:t>
      </w:r>
      <w:r w:rsidR="009278CB" w:rsidRPr="00982181">
        <w:rPr>
          <w:rFonts w:ascii="Times New Roman" w:hAnsi="Times New Roman" w:cs="Times New Roman"/>
          <w:sz w:val="24"/>
          <w:szCs w:val="24"/>
          <w:lang w:val="en-US"/>
        </w:rPr>
        <w:t xml:space="preserve">, </w:t>
      </w:r>
      <w:r w:rsidRPr="00982181">
        <w:rPr>
          <w:rFonts w:ascii="Times New Roman" w:hAnsi="Times New Roman" w:cs="Times New Roman"/>
          <w:sz w:val="24"/>
          <w:szCs w:val="24"/>
          <w:lang w:val="en-US"/>
        </w:rPr>
        <w:t xml:space="preserve">and </w:t>
      </w:r>
      <w:r w:rsidR="00395886" w:rsidRPr="00982181">
        <w:rPr>
          <w:rFonts w:ascii="Times New Roman" w:hAnsi="Times New Roman" w:cs="Times New Roman"/>
          <w:sz w:val="24"/>
          <w:szCs w:val="24"/>
          <w:lang w:val="en-US"/>
        </w:rPr>
        <w:t>long-</w:t>
      </w:r>
      <w:r w:rsidRPr="00982181">
        <w:rPr>
          <w:rFonts w:ascii="Times New Roman" w:hAnsi="Times New Roman" w:cs="Times New Roman"/>
          <w:sz w:val="24"/>
          <w:szCs w:val="24"/>
          <w:lang w:val="en-US"/>
        </w:rPr>
        <w:t>term survival</w:t>
      </w:r>
      <w:r w:rsidR="005F38A4" w:rsidRPr="00982181">
        <w:rPr>
          <w:rFonts w:ascii="Times New Roman" w:hAnsi="Times New Roman" w:cs="Times New Roman"/>
          <w:sz w:val="24"/>
          <w:szCs w:val="24"/>
          <w:lang w:val="en-US"/>
        </w:rPr>
        <w:t xml:space="preserve"> </w:t>
      </w:r>
      <w:r w:rsidR="00F3370E" w:rsidRPr="00982181">
        <w:rPr>
          <w:rFonts w:ascii="Times New Roman" w:hAnsi="Times New Roman" w:cs="Times New Roman"/>
          <w:sz w:val="24"/>
          <w:lang w:val="en-US"/>
        </w:rPr>
        <w:t>(Brown, 1998)</w:t>
      </w:r>
      <w:r w:rsidRPr="00982181">
        <w:rPr>
          <w:rFonts w:ascii="Times New Roman" w:hAnsi="Times New Roman" w:cs="Times New Roman"/>
          <w:sz w:val="24"/>
          <w:szCs w:val="24"/>
          <w:lang w:val="en-US"/>
        </w:rPr>
        <w:t>.</w:t>
      </w:r>
      <w:r w:rsidR="001E7AB7" w:rsidRPr="00982181">
        <w:rPr>
          <w:rFonts w:ascii="Times New Roman" w:hAnsi="Times New Roman" w:cs="Times New Roman"/>
          <w:sz w:val="24"/>
          <w:szCs w:val="24"/>
          <w:lang w:val="en-US"/>
        </w:rPr>
        <w:t xml:space="preserve"> Organizations</w:t>
      </w:r>
      <w:r w:rsidR="00881039" w:rsidRPr="00982181">
        <w:rPr>
          <w:rFonts w:ascii="Times New Roman" w:hAnsi="Times New Roman" w:cs="Times New Roman"/>
          <w:sz w:val="24"/>
          <w:szCs w:val="24"/>
          <w:lang w:val="en-US"/>
        </w:rPr>
        <w:t>, thus, will constantly attempt to ensure that societ</w:t>
      </w:r>
      <w:r w:rsidR="00FA0B30" w:rsidRPr="00982181">
        <w:rPr>
          <w:rFonts w:ascii="Times New Roman" w:hAnsi="Times New Roman" w:cs="Times New Roman"/>
          <w:sz w:val="24"/>
          <w:szCs w:val="24"/>
          <w:lang w:val="en-US"/>
        </w:rPr>
        <w:t>y</w:t>
      </w:r>
      <w:r w:rsidR="00881039" w:rsidRPr="00982181">
        <w:rPr>
          <w:rFonts w:ascii="Times New Roman" w:hAnsi="Times New Roman" w:cs="Times New Roman"/>
          <w:sz w:val="24"/>
          <w:szCs w:val="24"/>
          <w:lang w:val="en-US"/>
        </w:rPr>
        <w:t xml:space="preserve"> </w:t>
      </w:r>
      <w:r w:rsidR="001F11C5" w:rsidRPr="00982181">
        <w:rPr>
          <w:rFonts w:ascii="Times New Roman" w:hAnsi="Times New Roman" w:cs="Times New Roman"/>
          <w:sz w:val="24"/>
          <w:szCs w:val="24"/>
          <w:lang w:val="en-US"/>
        </w:rPr>
        <w:t xml:space="preserve">perceives </w:t>
      </w:r>
      <w:r w:rsidR="00881039" w:rsidRPr="00982181">
        <w:rPr>
          <w:rFonts w:ascii="Times New Roman" w:hAnsi="Times New Roman" w:cs="Times New Roman"/>
          <w:sz w:val="24"/>
          <w:szCs w:val="24"/>
          <w:lang w:val="en-US"/>
        </w:rPr>
        <w:t>their activities as legitimate</w:t>
      </w:r>
      <w:r w:rsidR="00DE6F76" w:rsidRPr="00982181">
        <w:rPr>
          <w:rFonts w:ascii="Times New Roman" w:hAnsi="Times New Roman" w:cs="Times New Roman"/>
          <w:sz w:val="24"/>
          <w:szCs w:val="24"/>
          <w:lang w:val="en-US"/>
        </w:rPr>
        <w:t xml:space="preserve"> </w:t>
      </w:r>
      <w:r w:rsidR="00F3370E" w:rsidRPr="00982181">
        <w:rPr>
          <w:rFonts w:ascii="Times New Roman" w:hAnsi="Times New Roman" w:cs="Times New Roman"/>
          <w:sz w:val="24"/>
          <w:lang w:val="en-US"/>
        </w:rPr>
        <w:t>(</w:t>
      </w:r>
      <w:r w:rsidR="006A72A5">
        <w:rPr>
          <w:rFonts w:ascii="Times New Roman" w:hAnsi="Times New Roman" w:cs="Times New Roman"/>
          <w:sz w:val="24"/>
          <w:lang w:val="en-US"/>
        </w:rPr>
        <w:t>Suddaby et al., 2017</w:t>
      </w:r>
      <w:r w:rsidR="00F3370E" w:rsidRPr="00E057FE">
        <w:rPr>
          <w:rFonts w:ascii="Times New Roman" w:hAnsi="Times New Roman" w:cs="Times New Roman"/>
          <w:sz w:val="24"/>
          <w:lang w:val="en-US"/>
        </w:rPr>
        <w:t>)</w:t>
      </w:r>
      <w:r w:rsidR="007A0669" w:rsidRPr="00E057FE">
        <w:rPr>
          <w:rFonts w:ascii="Times New Roman" w:hAnsi="Times New Roman" w:cs="Times New Roman"/>
          <w:sz w:val="24"/>
          <w:szCs w:val="24"/>
          <w:lang w:val="en-US"/>
        </w:rPr>
        <w:t xml:space="preserve"> and </w:t>
      </w:r>
      <w:r w:rsidR="00FA4E18" w:rsidRPr="00E057FE">
        <w:rPr>
          <w:rFonts w:ascii="Times New Roman" w:hAnsi="Times New Roman" w:cs="Times New Roman"/>
          <w:sz w:val="24"/>
          <w:szCs w:val="24"/>
          <w:lang w:val="en-US"/>
        </w:rPr>
        <w:t>the</w:t>
      </w:r>
      <w:r w:rsidR="007A0669" w:rsidRPr="00982181">
        <w:rPr>
          <w:rFonts w:ascii="Times New Roman" w:hAnsi="Times New Roman" w:cs="Times New Roman"/>
          <w:sz w:val="24"/>
          <w:szCs w:val="24"/>
          <w:lang w:val="en-US"/>
        </w:rPr>
        <w:t xml:space="preserve"> </w:t>
      </w:r>
      <w:bookmarkStart w:id="4" w:name="_Hlk93579477"/>
      <w:r w:rsidR="00FA4E18" w:rsidRPr="00982181">
        <w:rPr>
          <w:rFonts w:ascii="Times New Roman" w:hAnsi="Times New Roman" w:cs="Times New Roman"/>
          <w:sz w:val="24"/>
          <w:szCs w:val="24"/>
          <w:lang w:val="en-US"/>
        </w:rPr>
        <w:t xml:space="preserve">societal </w:t>
      </w:r>
      <w:r w:rsidR="007A0669" w:rsidRPr="00982181">
        <w:rPr>
          <w:rFonts w:ascii="Times New Roman" w:hAnsi="Times New Roman" w:cs="Times New Roman"/>
          <w:sz w:val="24"/>
          <w:szCs w:val="24"/>
          <w:lang w:val="en-US"/>
        </w:rPr>
        <w:t xml:space="preserve">embedded </w:t>
      </w:r>
      <w:r w:rsidR="00FA4E18" w:rsidRPr="00982181">
        <w:rPr>
          <w:rFonts w:ascii="Times New Roman" w:hAnsi="Times New Roman" w:cs="Times New Roman"/>
          <w:sz w:val="24"/>
          <w:szCs w:val="24"/>
          <w:lang w:val="en-US"/>
        </w:rPr>
        <w:t xml:space="preserve">beliefs and </w:t>
      </w:r>
      <w:r w:rsidR="007A0669" w:rsidRPr="00982181">
        <w:rPr>
          <w:rFonts w:ascii="Times New Roman" w:hAnsi="Times New Roman" w:cs="Times New Roman"/>
          <w:sz w:val="24"/>
          <w:szCs w:val="24"/>
          <w:lang w:val="en-US"/>
        </w:rPr>
        <w:t>understandings</w:t>
      </w:r>
      <w:bookmarkEnd w:id="4"/>
      <w:r w:rsidR="00FA4E18" w:rsidRPr="00982181">
        <w:rPr>
          <w:rFonts w:ascii="Times New Roman" w:hAnsi="Times New Roman" w:cs="Times New Roman"/>
          <w:sz w:val="24"/>
          <w:szCs w:val="24"/>
          <w:lang w:val="en-US"/>
        </w:rPr>
        <w:t xml:space="preserve"> </w:t>
      </w:r>
      <w:r w:rsidR="007A0669" w:rsidRPr="00982181">
        <w:rPr>
          <w:rFonts w:ascii="Times New Roman" w:hAnsi="Times New Roman" w:cs="Times New Roman"/>
          <w:sz w:val="24"/>
          <w:szCs w:val="24"/>
          <w:lang w:val="en-US"/>
        </w:rPr>
        <w:t xml:space="preserve">will </w:t>
      </w:r>
      <w:r w:rsidR="00FA4E18" w:rsidRPr="00982181">
        <w:rPr>
          <w:rFonts w:ascii="Times New Roman" w:hAnsi="Times New Roman" w:cs="Times New Roman"/>
          <w:sz w:val="24"/>
          <w:szCs w:val="24"/>
          <w:lang w:val="en-US"/>
        </w:rPr>
        <w:t>frame</w:t>
      </w:r>
      <w:r w:rsidR="007A0669" w:rsidRPr="00982181">
        <w:rPr>
          <w:lang w:val="en-US"/>
        </w:rPr>
        <w:t xml:space="preserve"> </w:t>
      </w:r>
      <w:r w:rsidR="007A0669" w:rsidRPr="00982181">
        <w:rPr>
          <w:rFonts w:ascii="Times New Roman" w:hAnsi="Times New Roman" w:cs="Times New Roman"/>
          <w:sz w:val="24"/>
          <w:szCs w:val="24"/>
          <w:lang w:val="en-US"/>
        </w:rPr>
        <w:t>how organizations seek approval for their acts</w:t>
      </w:r>
      <w:r w:rsidR="00881039" w:rsidRPr="00982181">
        <w:rPr>
          <w:rFonts w:ascii="Times New Roman" w:hAnsi="Times New Roman" w:cs="Times New Roman"/>
          <w:sz w:val="24"/>
          <w:szCs w:val="24"/>
          <w:lang w:val="en-US"/>
        </w:rPr>
        <w:t xml:space="preserve">. </w:t>
      </w:r>
      <w:r w:rsidR="00CE5167" w:rsidRPr="00982181">
        <w:rPr>
          <w:rFonts w:ascii="Times New Roman" w:hAnsi="Times New Roman" w:cs="Times New Roman"/>
          <w:sz w:val="24"/>
          <w:szCs w:val="24"/>
          <w:lang w:val="en-US"/>
        </w:rPr>
        <w:t xml:space="preserve">In this study, we </w:t>
      </w:r>
      <w:r w:rsidR="00416E91" w:rsidRPr="00982181">
        <w:rPr>
          <w:rFonts w:ascii="Times New Roman" w:hAnsi="Times New Roman" w:cs="Times New Roman"/>
          <w:sz w:val="24"/>
          <w:szCs w:val="24"/>
          <w:lang w:val="en-US"/>
        </w:rPr>
        <w:t xml:space="preserve">focus our analysis </w:t>
      </w:r>
      <w:r w:rsidR="00CE5167" w:rsidRPr="00982181">
        <w:rPr>
          <w:rFonts w:ascii="Times New Roman" w:hAnsi="Times New Roman" w:cs="Times New Roman"/>
          <w:sz w:val="24"/>
          <w:szCs w:val="24"/>
          <w:lang w:val="en-US"/>
        </w:rPr>
        <w:t>on customers and investors</w:t>
      </w:r>
      <w:r w:rsidR="00416E91" w:rsidRPr="00982181">
        <w:rPr>
          <w:rFonts w:ascii="Times New Roman" w:hAnsi="Times New Roman" w:cs="Times New Roman"/>
          <w:sz w:val="24"/>
          <w:szCs w:val="24"/>
          <w:lang w:val="en-US"/>
        </w:rPr>
        <w:t xml:space="preserve">, </w:t>
      </w:r>
      <w:r w:rsidR="00CE5167" w:rsidRPr="00982181">
        <w:rPr>
          <w:rFonts w:ascii="Times New Roman" w:hAnsi="Times New Roman" w:cs="Times New Roman"/>
          <w:sz w:val="24"/>
          <w:szCs w:val="24"/>
          <w:lang w:val="en-US"/>
        </w:rPr>
        <w:t xml:space="preserve">since both are the first </w:t>
      </w:r>
      <w:r w:rsidR="00A82545" w:rsidRPr="00982181">
        <w:rPr>
          <w:rFonts w:ascii="Times New Roman" w:hAnsi="Times New Roman" w:cs="Times New Roman"/>
          <w:sz w:val="24"/>
          <w:szCs w:val="24"/>
          <w:lang w:val="en-US"/>
        </w:rPr>
        <w:t>segments of society</w:t>
      </w:r>
      <w:r w:rsidR="00CE5167" w:rsidRPr="00982181">
        <w:rPr>
          <w:rFonts w:ascii="Times New Roman" w:hAnsi="Times New Roman" w:cs="Times New Roman"/>
          <w:sz w:val="24"/>
          <w:szCs w:val="24"/>
          <w:lang w:val="en-US"/>
        </w:rPr>
        <w:t xml:space="preserve"> </w:t>
      </w:r>
      <w:r w:rsidR="00416E91" w:rsidRPr="00982181">
        <w:rPr>
          <w:rFonts w:ascii="Times New Roman" w:hAnsi="Times New Roman" w:cs="Times New Roman"/>
          <w:sz w:val="24"/>
          <w:szCs w:val="24"/>
          <w:lang w:val="en-US"/>
        </w:rPr>
        <w:t xml:space="preserve">to </w:t>
      </w:r>
      <w:r w:rsidR="00CE5167" w:rsidRPr="00982181">
        <w:rPr>
          <w:rFonts w:ascii="Times New Roman" w:hAnsi="Times New Roman" w:cs="Times New Roman"/>
          <w:sz w:val="24"/>
          <w:szCs w:val="24"/>
          <w:lang w:val="en-US"/>
        </w:rPr>
        <w:t xml:space="preserve">react </w:t>
      </w:r>
      <w:r w:rsidR="00E66A13" w:rsidRPr="00982181">
        <w:rPr>
          <w:rFonts w:ascii="Times New Roman" w:hAnsi="Times New Roman" w:cs="Times New Roman"/>
          <w:sz w:val="24"/>
          <w:szCs w:val="24"/>
          <w:lang w:val="en-US"/>
        </w:rPr>
        <w:t>to</w:t>
      </w:r>
      <w:r w:rsidR="00CE5167" w:rsidRPr="00982181">
        <w:rPr>
          <w:rFonts w:ascii="Times New Roman" w:hAnsi="Times New Roman" w:cs="Times New Roman"/>
          <w:sz w:val="24"/>
          <w:szCs w:val="24"/>
          <w:lang w:val="en-US"/>
        </w:rPr>
        <w:t xml:space="preserve"> </w:t>
      </w:r>
      <w:r w:rsidR="00416E91" w:rsidRPr="00982181">
        <w:rPr>
          <w:rFonts w:ascii="Times New Roman" w:hAnsi="Times New Roman" w:cs="Times New Roman"/>
          <w:sz w:val="24"/>
          <w:szCs w:val="24"/>
          <w:lang w:val="en-US"/>
        </w:rPr>
        <w:t>sustainability issues</w:t>
      </w:r>
      <w:r w:rsidR="00CE5167" w:rsidRPr="00982181">
        <w:rPr>
          <w:rFonts w:ascii="Times New Roman" w:hAnsi="Times New Roman" w:cs="Times New Roman"/>
          <w:sz w:val="24"/>
          <w:szCs w:val="24"/>
          <w:lang w:val="en-US"/>
        </w:rPr>
        <w:t xml:space="preserve">. </w:t>
      </w:r>
    </w:p>
    <w:p w14:paraId="377AA360" w14:textId="08FBF1B3" w:rsidR="00AC5E72" w:rsidRPr="00C74FC4" w:rsidRDefault="00CD05D9" w:rsidP="002B36A4">
      <w:pPr>
        <w:spacing w:line="480" w:lineRule="auto"/>
        <w:jc w:val="both"/>
        <w:rPr>
          <w:rFonts w:ascii="Times New Roman" w:hAnsi="Times New Roman" w:cs="Times New Roman"/>
          <w:sz w:val="24"/>
          <w:szCs w:val="24"/>
          <w:lang w:val="en-GB"/>
        </w:rPr>
      </w:pPr>
      <w:r w:rsidRPr="00982181">
        <w:rPr>
          <w:rFonts w:ascii="Times New Roman" w:hAnsi="Times New Roman" w:cs="Times New Roman"/>
          <w:sz w:val="24"/>
          <w:szCs w:val="24"/>
          <w:lang w:val="en-US"/>
        </w:rPr>
        <w:t xml:space="preserve">In this study, we address legitimacy as defined by </w:t>
      </w:r>
      <w:proofErr w:type="spellStart"/>
      <w:r w:rsidRPr="00982181">
        <w:rPr>
          <w:rFonts w:ascii="Times New Roman" w:hAnsi="Times New Roman" w:cs="Times New Roman"/>
          <w:sz w:val="24"/>
          <w:szCs w:val="24"/>
          <w:lang w:val="en-US"/>
        </w:rPr>
        <w:t>Suchman</w:t>
      </w:r>
      <w:proofErr w:type="spellEnd"/>
      <w:r w:rsidRPr="00982181">
        <w:rPr>
          <w:rFonts w:ascii="Times New Roman" w:hAnsi="Times New Roman" w:cs="Times New Roman"/>
          <w:sz w:val="24"/>
          <w:szCs w:val="24"/>
          <w:lang w:val="en-US"/>
        </w:rPr>
        <w:t xml:space="preserve"> </w:t>
      </w:r>
      <w:r w:rsidR="00F3370E" w:rsidRPr="00982181">
        <w:rPr>
          <w:rFonts w:ascii="Times New Roman" w:hAnsi="Times New Roman" w:cs="Times New Roman"/>
          <w:sz w:val="24"/>
          <w:lang w:val="en-US"/>
        </w:rPr>
        <w:t>(1995, p. 574)</w:t>
      </w:r>
      <w:r w:rsidRPr="00982181">
        <w:rPr>
          <w:rFonts w:ascii="Times New Roman" w:hAnsi="Times New Roman" w:cs="Times New Roman"/>
          <w:sz w:val="24"/>
          <w:szCs w:val="24"/>
          <w:lang w:val="en-US"/>
        </w:rPr>
        <w:t xml:space="preserve"> as “a generalized assumption that the actions of an entity are desirable, proper, or appropriate within some socially constructed system of norms, values, beliefs, and definitions</w:t>
      </w:r>
      <w:r w:rsidR="001F11C5" w:rsidRPr="00982181">
        <w:rPr>
          <w:rFonts w:ascii="Times New Roman" w:hAnsi="Times New Roman" w:cs="Times New Roman"/>
          <w:sz w:val="24"/>
          <w:szCs w:val="24"/>
          <w:lang w:val="en-US"/>
        </w:rPr>
        <w:t>.</w:t>
      </w:r>
      <w:r w:rsidRPr="00982181">
        <w:rPr>
          <w:rFonts w:ascii="Times New Roman" w:hAnsi="Times New Roman" w:cs="Times New Roman"/>
          <w:sz w:val="24"/>
          <w:szCs w:val="24"/>
          <w:lang w:val="en-US"/>
        </w:rPr>
        <w:t>”  However, we frame it in terms of</w:t>
      </w:r>
      <w:r w:rsidR="00BA46D0" w:rsidRPr="00982181">
        <w:rPr>
          <w:rFonts w:ascii="Times New Roman" w:hAnsi="Times New Roman" w:cs="Times New Roman"/>
          <w:sz w:val="24"/>
          <w:szCs w:val="24"/>
          <w:lang w:val="en-US"/>
        </w:rPr>
        <w:t xml:space="preserve"> environmental and social</w:t>
      </w:r>
      <w:r w:rsidRPr="00982181">
        <w:rPr>
          <w:rFonts w:ascii="Times New Roman" w:hAnsi="Times New Roman" w:cs="Times New Roman"/>
          <w:sz w:val="24"/>
          <w:szCs w:val="24"/>
          <w:lang w:val="en-US"/>
        </w:rPr>
        <w:t xml:space="preserve"> sustainability, by extending Bansal and </w:t>
      </w:r>
      <w:proofErr w:type="spellStart"/>
      <w:r w:rsidRPr="00982181">
        <w:rPr>
          <w:rFonts w:ascii="Times New Roman" w:hAnsi="Times New Roman" w:cs="Times New Roman"/>
          <w:sz w:val="24"/>
          <w:szCs w:val="24"/>
          <w:lang w:val="en-US"/>
        </w:rPr>
        <w:t>Clelland’s</w:t>
      </w:r>
      <w:proofErr w:type="spellEnd"/>
      <w:r w:rsidRPr="00982181">
        <w:rPr>
          <w:rFonts w:ascii="Times New Roman" w:hAnsi="Times New Roman" w:cs="Times New Roman"/>
          <w:sz w:val="24"/>
          <w:szCs w:val="24"/>
          <w:lang w:val="en-US"/>
        </w:rPr>
        <w:t xml:space="preserve"> definition </w:t>
      </w:r>
      <w:r w:rsidR="00F3370E" w:rsidRPr="00982181">
        <w:rPr>
          <w:rFonts w:ascii="Times New Roman" w:hAnsi="Times New Roman" w:cs="Times New Roman"/>
          <w:sz w:val="24"/>
          <w:lang w:val="en-US"/>
        </w:rPr>
        <w:t>(2004)</w:t>
      </w:r>
      <w:r w:rsidRPr="00982181">
        <w:rPr>
          <w:rFonts w:ascii="Times New Roman" w:hAnsi="Times New Roman" w:cs="Times New Roman"/>
          <w:sz w:val="24"/>
          <w:szCs w:val="24"/>
          <w:lang w:val="en-US"/>
        </w:rPr>
        <w:t xml:space="preserve">. Accordingly, we consider sustainability legitimacy as the congruency between values implied by companies’ environmental and social </w:t>
      </w:r>
      <w:r w:rsidR="00F651CF" w:rsidRPr="00982181">
        <w:rPr>
          <w:rFonts w:ascii="Times New Roman" w:hAnsi="Times New Roman" w:cs="Times New Roman"/>
          <w:sz w:val="24"/>
          <w:szCs w:val="24"/>
          <w:lang w:val="en-US"/>
        </w:rPr>
        <w:t>developments</w:t>
      </w:r>
      <w:r w:rsidRPr="00982181">
        <w:rPr>
          <w:rFonts w:ascii="Times New Roman" w:hAnsi="Times New Roman" w:cs="Times New Roman"/>
          <w:sz w:val="24"/>
          <w:szCs w:val="24"/>
          <w:lang w:val="en-US"/>
        </w:rPr>
        <w:t xml:space="preserve"> and the norms of acceptable sustainability behaviors in the societal system</w:t>
      </w:r>
      <w:r w:rsidR="00BA46D0" w:rsidRPr="00982181">
        <w:rPr>
          <w:rFonts w:ascii="Times New Roman" w:hAnsi="Times New Roman" w:cs="Times New Roman"/>
          <w:sz w:val="24"/>
          <w:szCs w:val="24"/>
          <w:lang w:val="en-US"/>
        </w:rPr>
        <w:t xml:space="preserve"> </w:t>
      </w:r>
      <w:r w:rsidR="00BA24F4" w:rsidRPr="00982181">
        <w:rPr>
          <w:rFonts w:ascii="Times New Roman" w:hAnsi="Times New Roman" w:cs="Times New Roman"/>
          <w:sz w:val="24"/>
          <w:szCs w:val="24"/>
          <w:lang w:val="en-US"/>
        </w:rPr>
        <w:t>in which they operate</w:t>
      </w:r>
      <w:r w:rsidRPr="00982181">
        <w:rPr>
          <w:rFonts w:ascii="Times New Roman" w:hAnsi="Times New Roman" w:cs="Times New Roman"/>
          <w:sz w:val="24"/>
          <w:szCs w:val="24"/>
          <w:lang w:val="en-US"/>
        </w:rPr>
        <w:t xml:space="preserve">. Thus, organizations may be legitimized as environmentally and socially responsible entities, in addition to their economic strengths </w:t>
      </w:r>
      <w:r w:rsidR="00F3370E" w:rsidRPr="00982181">
        <w:rPr>
          <w:rFonts w:ascii="Times New Roman" w:hAnsi="Times New Roman" w:cs="Times New Roman"/>
          <w:sz w:val="24"/>
          <w:lang w:val="en-US"/>
        </w:rPr>
        <w:t>(</w:t>
      </w:r>
      <w:r w:rsidR="006A72A5">
        <w:rPr>
          <w:rFonts w:ascii="Times New Roman" w:hAnsi="Times New Roman" w:cs="Times New Roman"/>
          <w:sz w:val="24"/>
          <w:lang w:val="en-US"/>
        </w:rPr>
        <w:t>Suddaby et al., 2017</w:t>
      </w:r>
      <w:r w:rsidR="00F3370E" w:rsidRPr="00E057FE">
        <w:rPr>
          <w:rFonts w:ascii="Times New Roman" w:hAnsi="Times New Roman" w:cs="Times New Roman"/>
          <w:sz w:val="24"/>
          <w:lang w:val="en-US"/>
        </w:rPr>
        <w:t>)</w:t>
      </w:r>
      <w:r w:rsidRPr="00E057FE">
        <w:rPr>
          <w:rFonts w:ascii="Times New Roman" w:hAnsi="Times New Roman" w:cs="Times New Roman"/>
          <w:sz w:val="24"/>
          <w:szCs w:val="24"/>
          <w:lang w:val="en-US"/>
        </w:rPr>
        <w:t xml:space="preserve">. </w:t>
      </w:r>
      <w:r w:rsidR="00723A37" w:rsidRPr="00E057FE">
        <w:rPr>
          <w:rFonts w:ascii="Times New Roman" w:hAnsi="Times New Roman" w:cs="Times New Roman"/>
          <w:sz w:val="24"/>
          <w:szCs w:val="24"/>
          <w:lang w:val="en-US"/>
        </w:rPr>
        <w:t>This implies that w</w:t>
      </w:r>
      <w:r w:rsidR="00AC5E72" w:rsidRPr="00982181">
        <w:rPr>
          <w:rFonts w:ascii="Times New Roman" w:hAnsi="Times New Roman" w:cs="Times New Roman"/>
          <w:sz w:val="24"/>
          <w:szCs w:val="24"/>
          <w:lang w:val="en-US"/>
        </w:rPr>
        <w:t xml:space="preserve">hen society perceives a gap between what is socially expected from firms regarding </w:t>
      </w:r>
      <w:r w:rsidR="00723A37" w:rsidRPr="00982181">
        <w:rPr>
          <w:rFonts w:ascii="Times New Roman" w:hAnsi="Times New Roman" w:cs="Times New Roman"/>
          <w:sz w:val="24"/>
          <w:szCs w:val="24"/>
          <w:lang w:val="en-US"/>
        </w:rPr>
        <w:t xml:space="preserve">environmental and social </w:t>
      </w:r>
      <w:r w:rsidR="00AC5E72" w:rsidRPr="00982181">
        <w:rPr>
          <w:rFonts w:ascii="Times New Roman" w:hAnsi="Times New Roman" w:cs="Times New Roman"/>
          <w:sz w:val="24"/>
          <w:szCs w:val="24"/>
          <w:lang w:val="en-US"/>
        </w:rPr>
        <w:t>sustainability and their actual development</w:t>
      </w:r>
      <w:r w:rsidR="009278CB" w:rsidRPr="00982181">
        <w:rPr>
          <w:rFonts w:ascii="Times New Roman" w:hAnsi="Times New Roman" w:cs="Times New Roman"/>
          <w:sz w:val="24"/>
          <w:szCs w:val="24"/>
          <w:lang w:val="en-US"/>
        </w:rPr>
        <w:t>s</w:t>
      </w:r>
      <w:r w:rsidR="00AC5E72" w:rsidRPr="00982181">
        <w:rPr>
          <w:rFonts w:ascii="Times New Roman" w:hAnsi="Times New Roman" w:cs="Times New Roman"/>
          <w:sz w:val="24"/>
          <w:szCs w:val="24"/>
          <w:lang w:val="en-US"/>
        </w:rPr>
        <w:t xml:space="preserve">, </w:t>
      </w:r>
      <w:r w:rsidR="00723A37" w:rsidRPr="00982181">
        <w:rPr>
          <w:rFonts w:ascii="Times New Roman" w:hAnsi="Times New Roman" w:cs="Times New Roman"/>
          <w:sz w:val="24"/>
          <w:szCs w:val="24"/>
          <w:lang w:val="en-US"/>
        </w:rPr>
        <w:t>their future</w:t>
      </w:r>
      <w:r w:rsidR="00AC5E72" w:rsidRPr="00982181">
        <w:rPr>
          <w:rFonts w:ascii="Times New Roman" w:hAnsi="Times New Roman" w:cs="Times New Roman"/>
          <w:sz w:val="24"/>
          <w:szCs w:val="24"/>
          <w:lang w:val="en-US"/>
        </w:rPr>
        <w:t xml:space="preserve"> </w:t>
      </w:r>
      <w:r w:rsidR="00416E91" w:rsidRPr="00982181">
        <w:rPr>
          <w:rFonts w:ascii="Times New Roman" w:hAnsi="Times New Roman" w:cs="Times New Roman"/>
          <w:sz w:val="24"/>
          <w:szCs w:val="24"/>
          <w:lang w:val="en-US"/>
        </w:rPr>
        <w:t>financial and market performance may be damaged</w:t>
      </w:r>
      <w:r w:rsidR="00595D83" w:rsidRPr="00982181">
        <w:rPr>
          <w:rFonts w:ascii="Times New Roman" w:hAnsi="Times New Roman" w:cs="Times New Roman"/>
          <w:sz w:val="24"/>
          <w:szCs w:val="24"/>
          <w:lang w:val="en-US"/>
        </w:rPr>
        <w:t xml:space="preserve">, </w:t>
      </w:r>
      <w:r w:rsidR="0058020B">
        <w:rPr>
          <w:rFonts w:ascii="Times New Roman" w:hAnsi="Times New Roman" w:cs="Times New Roman"/>
          <w:sz w:val="24"/>
          <w:szCs w:val="24"/>
          <w:lang w:val="en-US"/>
        </w:rPr>
        <w:t>jeopardizing</w:t>
      </w:r>
      <w:r w:rsidR="00595D83" w:rsidRPr="00982181">
        <w:rPr>
          <w:rFonts w:ascii="Times New Roman" w:hAnsi="Times New Roman" w:cs="Times New Roman"/>
          <w:sz w:val="24"/>
          <w:szCs w:val="24"/>
          <w:lang w:val="en-US"/>
        </w:rPr>
        <w:t xml:space="preserve"> the economic </w:t>
      </w:r>
      <w:r w:rsidR="00595D83" w:rsidRPr="00982181">
        <w:rPr>
          <w:rFonts w:ascii="Times New Roman" w:hAnsi="Times New Roman" w:cs="Times New Roman"/>
          <w:sz w:val="24"/>
          <w:szCs w:val="24"/>
          <w:lang w:val="en-US"/>
        </w:rPr>
        <w:t>legitimacy</w:t>
      </w:r>
      <w:r w:rsidR="00595D83" w:rsidRPr="00982181">
        <w:rPr>
          <w:rFonts w:ascii="Times New Roman" w:hAnsi="Times New Roman" w:cs="Times New Roman"/>
          <w:sz w:val="24"/>
          <w:szCs w:val="24"/>
          <w:lang w:val="en-US"/>
        </w:rPr>
        <w:t xml:space="preserve"> of the firm</w:t>
      </w:r>
      <w:r w:rsidR="00AC5E72" w:rsidRPr="00982181">
        <w:rPr>
          <w:rFonts w:ascii="Times New Roman" w:hAnsi="Times New Roman" w:cs="Times New Roman"/>
          <w:sz w:val="24"/>
          <w:szCs w:val="24"/>
          <w:lang w:val="en-US"/>
        </w:rPr>
        <w:t>.</w:t>
      </w:r>
      <w:r w:rsidR="00FD1B99" w:rsidRPr="00982181">
        <w:rPr>
          <w:rFonts w:ascii="Times New Roman" w:hAnsi="Times New Roman" w:cs="Times New Roman"/>
          <w:sz w:val="24"/>
          <w:szCs w:val="24"/>
          <w:lang w:val="en-US"/>
        </w:rPr>
        <w:t xml:space="preserve"> </w:t>
      </w:r>
      <w:r w:rsidR="00595D83" w:rsidRPr="00982181">
        <w:rPr>
          <w:rFonts w:ascii="Times New Roman" w:hAnsi="Times New Roman" w:cs="Times New Roman"/>
          <w:sz w:val="24"/>
          <w:szCs w:val="24"/>
          <w:lang w:val="en-US"/>
        </w:rPr>
        <w:t xml:space="preserve">Therefore, by focusing on </w:t>
      </w:r>
      <w:r w:rsidR="00595D83" w:rsidRPr="00982181">
        <w:rPr>
          <w:rFonts w:ascii="Times New Roman" w:hAnsi="Times New Roman" w:cs="Times New Roman"/>
          <w:sz w:val="24"/>
          <w:szCs w:val="24"/>
          <w:lang w:val="en-US"/>
        </w:rPr>
        <w:t xml:space="preserve">the </w:t>
      </w:r>
      <w:r w:rsidR="00595D83" w:rsidRPr="00982181">
        <w:rPr>
          <w:rFonts w:ascii="Times New Roman" w:hAnsi="Times New Roman" w:cs="Times New Roman"/>
          <w:sz w:val="24"/>
          <w:szCs w:val="24"/>
          <w:lang w:val="en-US"/>
        </w:rPr>
        <w:t xml:space="preserve">environmental and social dimensions, we can also </w:t>
      </w:r>
      <w:r w:rsidR="0058020B">
        <w:rPr>
          <w:rFonts w:ascii="Times New Roman" w:hAnsi="Times New Roman" w:cs="Times New Roman"/>
          <w:sz w:val="24"/>
          <w:szCs w:val="24"/>
          <w:lang w:val="en-US"/>
        </w:rPr>
        <w:t>take into consideration</w:t>
      </w:r>
      <w:r w:rsidR="00595D83" w:rsidRPr="00982181">
        <w:rPr>
          <w:rFonts w:ascii="Times New Roman" w:hAnsi="Times New Roman" w:cs="Times New Roman"/>
          <w:sz w:val="24"/>
          <w:szCs w:val="24"/>
          <w:lang w:val="en-US"/>
        </w:rPr>
        <w:t xml:space="preserve"> </w:t>
      </w:r>
      <w:r w:rsidR="00595D83" w:rsidRPr="00982181">
        <w:rPr>
          <w:rFonts w:ascii="Times New Roman" w:hAnsi="Times New Roman" w:cs="Times New Roman"/>
          <w:sz w:val="24"/>
          <w:szCs w:val="24"/>
          <w:lang w:val="en-US"/>
        </w:rPr>
        <w:t>the</w:t>
      </w:r>
      <w:r w:rsidR="00595D83" w:rsidRPr="00982181">
        <w:rPr>
          <w:rFonts w:ascii="Times New Roman" w:hAnsi="Times New Roman" w:cs="Times New Roman"/>
          <w:sz w:val="24"/>
          <w:szCs w:val="24"/>
          <w:lang w:val="en-US"/>
        </w:rPr>
        <w:t xml:space="preserve"> </w:t>
      </w:r>
      <w:r w:rsidR="00595D83" w:rsidRPr="00982181">
        <w:rPr>
          <w:rFonts w:ascii="Times New Roman" w:hAnsi="Times New Roman" w:cs="Times New Roman"/>
          <w:sz w:val="24"/>
          <w:szCs w:val="24"/>
          <w:lang w:val="en-US"/>
        </w:rPr>
        <w:t xml:space="preserve">indirect </w:t>
      </w:r>
      <w:r w:rsidR="00595D83" w:rsidRPr="00982181">
        <w:rPr>
          <w:rFonts w:ascii="Times New Roman" w:hAnsi="Times New Roman" w:cs="Times New Roman"/>
          <w:sz w:val="24"/>
          <w:szCs w:val="24"/>
          <w:lang w:val="en-US"/>
        </w:rPr>
        <w:t xml:space="preserve">impacts on economic </w:t>
      </w:r>
      <w:r w:rsidR="00595D83" w:rsidRPr="00982181">
        <w:rPr>
          <w:rFonts w:ascii="Times New Roman" w:hAnsi="Times New Roman" w:cs="Times New Roman"/>
          <w:sz w:val="24"/>
          <w:szCs w:val="24"/>
          <w:lang w:val="en-US"/>
        </w:rPr>
        <w:t>l</w:t>
      </w:r>
      <w:r w:rsidR="00595D83" w:rsidRPr="00982181">
        <w:rPr>
          <w:rFonts w:ascii="Times New Roman" w:hAnsi="Times New Roman" w:cs="Times New Roman"/>
          <w:sz w:val="24"/>
          <w:szCs w:val="24"/>
          <w:lang w:val="en-US"/>
        </w:rPr>
        <w:t>egitimacy</w:t>
      </w:r>
      <w:r w:rsidR="00595D83" w:rsidRPr="00982181">
        <w:rPr>
          <w:rFonts w:ascii="Times New Roman" w:hAnsi="Times New Roman" w:cs="Times New Roman"/>
          <w:sz w:val="24"/>
          <w:szCs w:val="24"/>
          <w:lang w:val="en-US"/>
        </w:rPr>
        <w:t xml:space="preserve">. </w:t>
      </w:r>
      <w:r w:rsidR="00595D83" w:rsidRPr="00982181">
        <w:rPr>
          <w:rFonts w:ascii="Times New Roman" w:hAnsi="Times New Roman" w:cs="Times New Roman"/>
          <w:sz w:val="24"/>
          <w:szCs w:val="24"/>
          <w:lang w:val="en-US"/>
        </w:rPr>
        <w:t>A</w:t>
      </w:r>
      <w:r w:rsidR="00FD1B99" w:rsidRPr="00982181">
        <w:rPr>
          <w:rFonts w:ascii="Times New Roman" w:hAnsi="Times New Roman" w:cs="Times New Roman"/>
          <w:sz w:val="24"/>
          <w:szCs w:val="24"/>
          <w:lang w:val="en-US"/>
        </w:rPr>
        <w:t xml:space="preserve">ccording to </w:t>
      </w:r>
      <w:proofErr w:type="spellStart"/>
      <w:r w:rsidR="00FD1B99" w:rsidRPr="00982181">
        <w:rPr>
          <w:rFonts w:ascii="Times New Roman" w:hAnsi="Times New Roman" w:cs="Times New Roman"/>
          <w:sz w:val="24"/>
          <w:szCs w:val="24"/>
          <w:lang w:val="en-US"/>
        </w:rPr>
        <w:t>Suchman</w:t>
      </w:r>
      <w:proofErr w:type="spellEnd"/>
      <w:r w:rsidR="00FD1B99" w:rsidRPr="00982181">
        <w:rPr>
          <w:rFonts w:ascii="Times New Roman" w:hAnsi="Times New Roman" w:cs="Times New Roman"/>
          <w:sz w:val="24"/>
          <w:szCs w:val="24"/>
          <w:lang w:val="en-US"/>
        </w:rPr>
        <w:t xml:space="preserve"> </w:t>
      </w:r>
      <w:r w:rsidR="00F3370E" w:rsidRPr="00982181">
        <w:rPr>
          <w:rFonts w:ascii="Times New Roman" w:hAnsi="Times New Roman" w:cs="Times New Roman"/>
          <w:sz w:val="24"/>
          <w:lang w:val="en-US"/>
        </w:rPr>
        <w:t>(1995)</w:t>
      </w:r>
      <w:r w:rsidR="0032075F" w:rsidRPr="00982181">
        <w:rPr>
          <w:rFonts w:ascii="Times New Roman" w:hAnsi="Times New Roman" w:cs="Times New Roman"/>
          <w:sz w:val="24"/>
          <w:szCs w:val="24"/>
          <w:lang w:val="en-US"/>
        </w:rPr>
        <w:t>,</w:t>
      </w:r>
      <w:r w:rsidR="00FD1B99" w:rsidRPr="00982181">
        <w:rPr>
          <w:rFonts w:ascii="Times New Roman" w:hAnsi="Times New Roman" w:cs="Times New Roman"/>
          <w:sz w:val="24"/>
          <w:szCs w:val="24"/>
          <w:lang w:val="en-US"/>
        </w:rPr>
        <w:t xml:space="preserve"> legitimacy </w:t>
      </w:r>
      <w:r w:rsidR="000D61C3" w:rsidRPr="00982181">
        <w:rPr>
          <w:rFonts w:ascii="Times New Roman" w:hAnsi="Times New Roman" w:cs="Times New Roman"/>
          <w:sz w:val="24"/>
          <w:szCs w:val="24"/>
          <w:lang w:val="en-US"/>
        </w:rPr>
        <w:t xml:space="preserve">also </w:t>
      </w:r>
      <w:r w:rsidR="00FD1B99" w:rsidRPr="00982181">
        <w:rPr>
          <w:rFonts w:ascii="Times New Roman" w:hAnsi="Times New Roman" w:cs="Times New Roman"/>
          <w:sz w:val="24"/>
          <w:szCs w:val="24"/>
          <w:lang w:val="en-US"/>
        </w:rPr>
        <w:t xml:space="preserve">affects </w:t>
      </w:r>
      <w:r w:rsidR="000D61C3" w:rsidRPr="00982181">
        <w:rPr>
          <w:rFonts w:ascii="Times New Roman" w:hAnsi="Times New Roman" w:cs="Times New Roman"/>
          <w:sz w:val="24"/>
          <w:szCs w:val="24"/>
          <w:lang w:val="en-US"/>
        </w:rPr>
        <w:t xml:space="preserve">how people understand </w:t>
      </w:r>
      <w:r w:rsidR="001F11C5" w:rsidRPr="00982181">
        <w:rPr>
          <w:rFonts w:ascii="Times New Roman" w:hAnsi="Times New Roman" w:cs="Times New Roman"/>
          <w:sz w:val="24"/>
          <w:szCs w:val="24"/>
          <w:lang w:val="en-US"/>
        </w:rPr>
        <w:t>each company</w:t>
      </w:r>
      <w:r w:rsidR="00FD1B99" w:rsidRPr="00982181">
        <w:rPr>
          <w:rFonts w:ascii="Times New Roman" w:hAnsi="Times New Roman" w:cs="Times New Roman"/>
          <w:sz w:val="24"/>
          <w:szCs w:val="24"/>
          <w:lang w:val="en-US"/>
        </w:rPr>
        <w:t xml:space="preserve">. This </w:t>
      </w:r>
      <w:r w:rsidR="009278CB" w:rsidRPr="00982181">
        <w:rPr>
          <w:rFonts w:ascii="Times New Roman" w:hAnsi="Times New Roman" w:cs="Times New Roman"/>
          <w:sz w:val="24"/>
          <w:szCs w:val="24"/>
          <w:lang w:val="en-US"/>
        </w:rPr>
        <w:t>implies</w:t>
      </w:r>
      <w:r w:rsidR="00FD1B99" w:rsidRPr="00982181">
        <w:rPr>
          <w:rFonts w:ascii="Times New Roman" w:hAnsi="Times New Roman" w:cs="Times New Roman"/>
          <w:sz w:val="24"/>
          <w:szCs w:val="24"/>
          <w:lang w:val="en-US"/>
        </w:rPr>
        <w:t xml:space="preserve"> that society </w:t>
      </w:r>
      <w:r w:rsidR="00823D75" w:rsidRPr="00982181">
        <w:rPr>
          <w:rFonts w:ascii="Times New Roman" w:hAnsi="Times New Roman" w:cs="Times New Roman"/>
          <w:sz w:val="24"/>
          <w:szCs w:val="24"/>
          <w:lang w:val="en-US"/>
        </w:rPr>
        <w:t xml:space="preserve">segments </w:t>
      </w:r>
      <w:r w:rsidR="00FD1B99" w:rsidRPr="00982181">
        <w:rPr>
          <w:rFonts w:ascii="Times New Roman" w:hAnsi="Times New Roman" w:cs="Times New Roman"/>
          <w:sz w:val="24"/>
          <w:szCs w:val="24"/>
          <w:lang w:val="en-US"/>
        </w:rPr>
        <w:t xml:space="preserve">perceive </w:t>
      </w:r>
      <w:r w:rsidR="001F11C5" w:rsidRPr="00982181">
        <w:rPr>
          <w:rFonts w:ascii="Times New Roman" w:hAnsi="Times New Roman" w:cs="Times New Roman"/>
          <w:sz w:val="24"/>
          <w:szCs w:val="24"/>
          <w:lang w:val="en-US"/>
        </w:rPr>
        <w:t xml:space="preserve">a </w:t>
      </w:r>
      <w:r w:rsidR="00FD1B99" w:rsidRPr="00982181">
        <w:rPr>
          <w:rFonts w:ascii="Times New Roman" w:hAnsi="Times New Roman" w:cs="Times New Roman"/>
          <w:sz w:val="24"/>
          <w:szCs w:val="24"/>
          <w:lang w:val="en-US"/>
        </w:rPr>
        <w:t xml:space="preserve">legitimate organization as </w:t>
      </w:r>
      <w:r w:rsidR="00EB0746" w:rsidRPr="00982181">
        <w:rPr>
          <w:rFonts w:ascii="Times New Roman" w:hAnsi="Times New Roman" w:cs="Times New Roman"/>
          <w:sz w:val="24"/>
          <w:szCs w:val="24"/>
          <w:lang w:val="en-US"/>
        </w:rPr>
        <w:t xml:space="preserve">being </w:t>
      </w:r>
      <w:r w:rsidR="00FD1B99" w:rsidRPr="00982181">
        <w:rPr>
          <w:rFonts w:ascii="Times New Roman" w:hAnsi="Times New Roman" w:cs="Times New Roman"/>
          <w:sz w:val="24"/>
          <w:szCs w:val="24"/>
          <w:lang w:val="en-US"/>
        </w:rPr>
        <w:t>more meaningful, more predictable, and more trustworthy</w:t>
      </w:r>
      <w:r w:rsidR="0032075F" w:rsidRPr="00982181">
        <w:rPr>
          <w:rFonts w:ascii="Times New Roman" w:hAnsi="Times New Roman" w:cs="Times New Roman"/>
          <w:sz w:val="24"/>
          <w:szCs w:val="24"/>
          <w:lang w:val="en-US"/>
        </w:rPr>
        <w:t>,</w:t>
      </w:r>
      <w:r w:rsidR="00EB0746" w:rsidRPr="00982181">
        <w:rPr>
          <w:rFonts w:ascii="Times New Roman" w:hAnsi="Times New Roman" w:cs="Times New Roman"/>
          <w:sz w:val="24"/>
          <w:szCs w:val="24"/>
          <w:lang w:val="en-US"/>
        </w:rPr>
        <w:t xml:space="preserve"> in addition to </w:t>
      </w:r>
      <w:r w:rsidR="0000452B" w:rsidRPr="00982181">
        <w:rPr>
          <w:rFonts w:ascii="Times New Roman" w:hAnsi="Times New Roman" w:cs="Times New Roman"/>
          <w:sz w:val="24"/>
          <w:szCs w:val="24"/>
          <w:lang w:val="en-US"/>
        </w:rPr>
        <w:t xml:space="preserve">being </w:t>
      </w:r>
      <w:r w:rsidR="00EB0746" w:rsidRPr="00982181">
        <w:rPr>
          <w:rFonts w:ascii="Times New Roman" w:hAnsi="Times New Roman" w:cs="Times New Roman"/>
          <w:sz w:val="24"/>
          <w:szCs w:val="24"/>
          <w:lang w:val="en-US"/>
        </w:rPr>
        <w:t>worthy</w:t>
      </w:r>
      <w:r w:rsidR="00FD1B99" w:rsidRPr="00982181">
        <w:rPr>
          <w:rFonts w:ascii="Times New Roman" w:hAnsi="Times New Roman" w:cs="Times New Roman"/>
          <w:sz w:val="24"/>
          <w:szCs w:val="24"/>
          <w:lang w:val="en-US"/>
        </w:rPr>
        <w:t>.</w:t>
      </w:r>
      <w:r w:rsidR="00EB0746" w:rsidRPr="00982181">
        <w:rPr>
          <w:rFonts w:ascii="Times New Roman" w:hAnsi="Times New Roman" w:cs="Times New Roman"/>
          <w:sz w:val="24"/>
          <w:szCs w:val="24"/>
          <w:lang w:val="en-US"/>
        </w:rPr>
        <w:t xml:space="preserve"> These last aspects are </w:t>
      </w:r>
      <w:r w:rsidR="007D7A6F" w:rsidRPr="00982181">
        <w:rPr>
          <w:rFonts w:ascii="Times New Roman" w:hAnsi="Times New Roman" w:cs="Times New Roman"/>
          <w:sz w:val="24"/>
          <w:szCs w:val="24"/>
          <w:lang w:val="en-US"/>
        </w:rPr>
        <w:t>especially</w:t>
      </w:r>
      <w:r w:rsidR="00D456D7" w:rsidRPr="00982181">
        <w:rPr>
          <w:rFonts w:ascii="Times New Roman" w:hAnsi="Times New Roman" w:cs="Times New Roman"/>
          <w:sz w:val="24"/>
          <w:szCs w:val="24"/>
          <w:lang w:val="en-US"/>
        </w:rPr>
        <w:t xml:space="preserve"> </w:t>
      </w:r>
      <w:r w:rsidR="00EB0746" w:rsidRPr="00982181">
        <w:rPr>
          <w:rFonts w:ascii="Times New Roman" w:hAnsi="Times New Roman" w:cs="Times New Roman"/>
          <w:sz w:val="24"/>
          <w:szCs w:val="24"/>
          <w:lang w:val="en-US"/>
        </w:rPr>
        <w:t xml:space="preserve">relevant when </w:t>
      </w:r>
      <w:r w:rsidR="00D456D7" w:rsidRPr="00982181">
        <w:rPr>
          <w:rFonts w:ascii="Times New Roman" w:hAnsi="Times New Roman" w:cs="Times New Roman"/>
          <w:sz w:val="24"/>
          <w:szCs w:val="24"/>
          <w:lang w:val="en-US"/>
        </w:rPr>
        <w:t>firms</w:t>
      </w:r>
      <w:r w:rsidR="00EB0746" w:rsidRPr="00982181">
        <w:rPr>
          <w:rFonts w:ascii="Times New Roman" w:hAnsi="Times New Roman" w:cs="Times New Roman"/>
          <w:sz w:val="24"/>
          <w:szCs w:val="24"/>
          <w:lang w:val="en-US"/>
        </w:rPr>
        <w:t xml:space="preserve"> belong to </w:t>
      </w:r>
      <w:r w:rsidR="00416E91" w:rsidRPr="00982181">
        <w:rPr>
          <w:rFonts w:ascii="Times New Roman" w:hAnsi="Times New Roman" w:cs="Times New Roman"/>
          <w:sz w:val="24"/>
          <w:szCs w:val="24"/>
          <w:lang w:val="en-US"/>
        </w:rPr>
        <w:t>sustainability-</w:t>
      </w:r>
      <w:r w:rsidR="00EB0746" w:rsidRPr="00982181">
        <w:rPr>
          <w:rFonts w:ascii="Times New Roman" w:hAnsi="Times New Roman" w:cs="Times New Roman"/>
          <w:sz w:val="24"/>
          <w:szCs w:val="24"/>
          <w:lang w:val="en-US"/>
        </w:rPr>
        <w:t xml:space="preserve">sensitive </w:t>
      </w:r>
      <w:r w:rsidR="00E54D8C" w:rsidRPr="00982181">
        <w:rPr>
          <w:rFonts w:ascii="Times New Roman" w:hAnsi="Times New Roman" w:cs="Times New Roman"/>
          <w:sz w:val="24"/>
          <w:szCs w:val="24"/>
          <w:lang w:val="en-US"/>
        </w:rPr>
        <w:t>industries</w:t>
      </w:r>
      <w:r w:rsidR="00EB0746" w:rsidRPr="00982181">
        <w:rPr>
          <w:rFonts w:ascii="Times New Roman" w:hAnsi="Times New Roman" w:cs="Times New Roman"/>
          <w:sz w:val="24"/>
          <w:szCs w:val="24"/>
          <w:lang w:val="en-US"/>
        </w:rPr>
        <w:t>.</w:t>
      </w:r>
      <w:r w:rsidR="00D456D7" w:rsidRPr="00982181">
        <w:rPr>
          <w:rFonts w:ascii="Times New Roman" w:hAnsi="Times New Roman" w:cs="Times New Roman"/>
          <w:sz w:val="24"/>
          <w:szCs w:val="24"/>
          <w:lang w:val="en-US"/>
        </w:rPr>
        <w:t xml:space="preserve"> </w:t>
      </w:r>
      <w:r w:rsidR="00C77BB4" w:rsidRPr="00982181">
        <w:rPr>
          <w:rFonts w:ascii="Times New Roman" w:hAnsi="Times New Roman" w:cs="Times New Roman"/>
          <w:sz w:val="24"/>
          <w:szCs w:val="24"/>
          <w:lang w:val="en-US"/>
        </w:rPr>
        <w:t>A</w:t>
      </w:r>
      <w:r w:rsidR="00B06BD3" w:rsidRPr="00982181">
        <w:rPr>
          <w:rFonts w:ascii="Times New Roman" w:hAnsi="Times New Roman" w:cs="Times New Roman"/>
          <w:sz w:val="24"/>
          <w:szCs w:val="24"/>
          <w:lang w:val="en-US"/>
        </w:rPr>
        <w:t>s</w:t>
      </w:r>
      <w:r w:rsidR="009278CB" w:rsidRPr="00982181">
        <w:rPr>
          <w:rFonts w:ascii="Times New Roman" w:hAnsi="Times New Roman" w:cs="Times New Roman"/>
          <w:sz w:val="24"/>
          <w:szCs w:val="24"/>
          <w:lang w:val="en-US"/>
        </w:rPr>
        <w:t xml:space="preserve"> </w:t>
      </w:r>
      <w:proofErr w:type="spellStart"/>
      <w:r w:rsidR="007B6A5B" w:rsidRPr="00982181">
        <w:rPr>
          <w:rFonts w:ascii="Times New Roman" w:hAnsi="Times New Roman" w:cs="Times New Roman"/>
          <w:sz w:val="24"/>
          <w:szCs w:val="24"/>
          <w:lang w:val="en-US"/>
        </w:rPr>
        <w:t>Brønn</w:t>
      </w:r>
      <w:proofErr w:type="spellEnd"/>
      <w:r w:rsidR="008A12BF">
        <w:rPr>
          <w:rFonts w:ascii="Times New Roman" w:hAnsi="Times New Roman" w:cs="Times New Roman"/>
          <w:sz w:val="24"/>
          <w:szCs w:val="24"/>
          <w:lang w:val="en-US"/>
        </w:rPr>
        <w:t xml:space="preserve"> and </w:t>
      </w:r>
      <w:proofErr w:type="spellStart"/>
      <w:r w:rsidR="008A12BF" w:rsidRPr="00982181">
        <w:rPr>
          <w:rFonts w:ascii="Times New Roman" w:hAnsi="Times New Roman" w:cs="Times New Roman"/>
          <w:sz w:val="24"/>
          <w:szCs w:val="24"/>
          <w:lang w:val="en-US"/>
        </w:rPr>
        <w:t>Vidaver</w:t>
      </w:r>
      <w:proofErr w:type="spellEnd"/>
      <w:r w:rsidR="008A12BF" w:rsidRPr="00982181">
        <w:rPr>
          <w:rFonts w:ascii="Times New Roman" w:hAnsi="Times New Roman" w:cs="Times New Roman"/>
          <w:sz w:val="24"/>
          <w:szCs w:val="24"/>
          <w:lang w:val="en-US"/>
        </w:rPr>
        <w:t>-Cohen</w:t>
      </w:r>
      <w:r w:rsidR="007B6A5B" w:rsidRPr="00982181">
        <w:rPr>
          <w:rFonts w:ascii="Times New Roman" w:hAnsi="Times New Roman" w:cs="Times New Roman"/>
          <w:sz w:val="24"/>
          <w:szCs w:val="24"/>
          <w:lang w:val="en-US"/>
        </w:rPr>
        <w:t xml:space="preserve"> </w:t>
      </w:r>
      <w:r w:rsidR="00F3370E" w:rsidRPr="00982181">
        <w:rPr>
          <w:rFonts w:ascii="Times New Roman" w:hAnsi="Times New Roman" w:cs="Times New Roman"/>
          <w:sz w:val="24"/>
          <w:lang w:val="en-US"/>
        </w:rPr>
        <w:t>(2009)</w:t>
      </w:r>
      <w:r w:rsidR="007B6A5B" w:rsidRPr="00982181">
        <w:rPr>
          <w:rFonts w:ascii="Times New Roman" w:hAnsi="Times New Roman" w:cs="Times New Roman"/>
          <w:sz w:val="24"/>
          <w:szCs w:val="24"/>
          <w:lang w:val="en-US"/>
        </w:rPr>
        <w:t xml:space="preserve"> s</w:t>
      </w:r>
      <w:r w:rsidR="007A5165" w:rsidRPr="00982181">
        <w:rPr>
          <w:rFonts w:ascii="Times New Roman" w:hAnsi="Times New Roman" w:cs="Times New Roman"/>
          <w:sz w:val="24"/>
          <w:szCs w:val="24"/>
          <w:lang w:val="en-US"/>
        </w:rPr>
        <w:t>tate</w:t>
      </w:r>
      <w:r w:rsidR="009278CB" w:rsidRPr="00982181">
        <w:rPr>
          <w:rFonts w:ascii="Times New Roman" w:hAnsi="Times New Roman" w:cs="Times New Roman"/>
          <w:sz w:val="24"/>
          <w:szCs w:val="24"/>
          <w:lang w:val="en-US"/>
        </w:rPr>
        <w:t>,</w:t>
      </w:r>
      <w:r w:rsidR="000D61C3" w:rsidRPr="00982181">
        <w:rPr>
          <w:rFonts w:ascii="Times New Roman" w:hAnsi="Times New Roman" w:cs="Times New Roman"/>
          <w:sz w:val="24"/>
          <w:szCs w:val="24"/>
          <w:lang w:val="en-US"/>
        </w:rPr>
        <w:t xml:space="preserve"> </w:t>
      </w:r>
      <w:r w:rsidR="007D7A6F" w:rsidRPr="00982181">
        <w:rPr>
          <w:rFonts w:ascii="Times New Roman" w:hAnsi="Times New Roman" w:cs="Times New Roman"/>
          <w:sz w:val="24"/>
          <w:szCs w:val="24"/>
          <w:lang w:val="en-US"/>
        </w:rPr>
        <w:t xml:space="preserve">firms </w:t>
      </w:r>
      <w:r w:rsidR="00B06BD3" w:rsidRPr="00982181">
        <w:rPr>
          <w:rFonts w:ascii="Times New Roman" w:hAnsi="Times New Roman" w:cs="Times New Roman"/>
          <w:sz w:val="24"/>
          <w:szCs w:val="24"/>
          <w:lang w:val="en-US"/>
        </w:rPr>
        <w:t>ten</w:t>
      </w:r>
      <w:r w:rsidR="007A5165" w:rsidRPr="00982181">
        <w:rPr>
          <w:rFonts w:ascii="Times New Roman" w:hAnsi="Times New Roman" w:cs="Times New Roman"/>
          <w:sz w:val="24"/>
          <w:szCs w:val="24"/>
          <w:lang w:val="en-US"/>
        </w:rPr>
        <w:t>d</w:t>
      </w:r>
      <w:r w:rsidR="00B06BD3" w:rsidRPr="00982181">
        <w:rPr>
          <w:rFonts w:ascii="Times New Roman" w:hAnsi="Times New Roman" w:cs="Times New Roman"/>
          <w:sz w:val="24"/>
          <w:szCs w:val="24"/>
          <w:lang w:val="en-US"/>
        </w:rPr>
        <w:t xml:space="preserve"> to </w:t>
      </w:r>
      <w:r w:rsidR="007D7A6F" w:rsidRPr="00982181">
        <w:rPr>
          <w:rFonts w:ascii="Times New Roman" w:hAnsi="Times New Roman" w:cs="Times New Roman"/>
          <w:sz w:val="24"/>
          <w:szCs w:val="24"/>
          <w:lang w:val="en-US"/>
        </w:rPr>
        <w:t>implement</w:t>
      </w:r>
      <w:r w:rsidR="00416E91" w:rsidRPr="00982181">
        <w:rPr>
          <w:rFonts w:ascii="Times New Roman" w:hAnsi="Times New Roman" w:cs="Times New Roman"/>
          <w:sz w:val="24"/>
          <w:szCs w:val="24"/>
          <w:lang w:val="en-US"/>
        </w:rPr>
        <w:t xml:space="preserve"> Corporate Social Responsibility (</w:t>
      </w:r>
      <w:r w:rsidR="007B6A5B" w:rsidRPr="00982181">
        <w:rPr>
          <w:rFonts w:ascii="Times New Roman" w:hAnsi="Times New Roman" w:cs="Times New Roman"/>
          <w:sz w:val="24"/>
          <w:szCs w:val="24"/>
          <w:lang w:val="en-US"/>
        </w:rPr>
        <w:t>CSR</w:t>
      </w:r>
      <w:r w:rsidR="00416E91" w:rsidRPr="00982181">
        <w:rPr>
          <w:rFonts w:ascii="Times New Roman" w:hAnsi="Times New Roman" w:cs="Times New Roman"/>
          <w:sz w:val="24"/>
          <w:szCs w:val="24"/>
          <w:lang w:val="en-US"/>
        </w:rPr>
        <w:t>)</w:t>
      </w:r>
      <w:r w:rsidR="007B6A5B" w:rsidRPr="00982181">
        <w:rPr>
          <w:rFonts w:ascii="Times New Roman" w:hAnsi="Times New Roman" w:cs="Times New Roman"/>
          <w:sz w:val="24"/>
          <w:szCs w:val="24"/>
          <w:lang w:val="en-US"/>
        </w:rPr>
        <w:t xml:space="preserve"> </w:t>
      </w:r>
      <w:r w:rsidR="007D7A6F" w:rsidRPr="00982181">
        <w:rPr>
          <w:rFonts w:ascii="Times New Roman" w:hAnsi="Times New Roman" w:cs="Times New Roman"/>
          <w:sz w:val="24"/>
          <w:szCs w:val="24"/>
          <w:lang w:val="en-US"/>
        </w:rPr>
        <w:t xml:space="preserve">initiatives as a </w:t>
      </w:r>
      <w:r w:rsidR="007D7A6F" w:rsidRPr="00982181">
        <w:rPr>
          <w:rFonts w:ascii="Times New Roman" w:hAnsi="Times New Roman" w:cs="Times New Roman"/>
          <w:sz w:val="24"/>
          <w:szCs w:val="24"/>
          <w:lang w:val="en-US"/>
        </w:rPr>
        <w:lastRenderedPageBreak/>
        <w:t xml:space="preserve">strategic necessity </w:t>
      </w:r>
      <w:r w:rsidR="0000452B" w:rsidRPr="00982181">
        <w:rPr>
          <w:rFonts w:ascii="Times New Roman" w:hAnsi="Times New Roman" w:cs="Times New Roman"/>
          <w:sz w:val="24"/>
          <w:szCs w:val="24"/>
          <w:lang w:val="en-US"/>
        </w:rPr>
        <w:t xml:space="preserve">in order </w:t>
      </w:r>
      <w:r w:rsidR="007D7A6F" w:rsidRPr="00982181">
        <w:rPr>
          <w:rFonts w:ascii="Times New Roman" w:hAnsi="Times New Roman" w:cs="Times New Roman"/>
          <w:sz w:val="24"/>
          <w:szCs w:val="24"/>
          <w:lang w:val="en-US"/>
        </w:rPr>
        <w:t>to preserve organizational legitimacy.</w:t>
      </w:r>
      <w:r w:rsidR="007B6A5B" w:rsidRPr="00982181">
        <w:rPr>
          <w:rFonts w:ascii="Times New Roman" w:hAnsi="Times New Roman" w:cs="Times New Roman"/>
          <w:sz w:val="24"/>
          <w:szCs w:val="24"/>
          <w:lang w:val="en-US"/>
        </w:rPr>
        <w:t xml:space="preserve"> In the case of </w:t>
      </w:r>
      <w:r w:rsidR="0058020B">
        <w:rPr>
          <w:rFonts w:ascii="Times New Roman" w:hAnsi="Times New Roman" w:cs="Times New Roman"/>
          <w:sz w:val="24"/>
          <w:szCs w:val="24"/>
          <w:lang w:val="en-US"/>
        </w:rPr>
        <w:t>sensitive</w:t>
      </w:r>
      <w:r w:rsidR="00A03FB3" w:rsidRPr="00982181">
        <w:rPr>
          <w:rFonts w:ascii="Times New Roman" w:hAnsi="Times New Roman" w:cs="Times New Roman"/>
          <w:sz w:val="24"/>
          <w:szCs w:val="24"/>
          <w:lang w:val="en-US"/>
        </w:rPr>
        <w:t xml:space="preserve"> </w:t>
      </w:r>
      <w:r w:rsidR="007B6A5B" w:rsidRPr="00982181">
        <w:rPr>
          <w:rFonts w:ascii="Times New Roman" w:hAnsi="Times New Roman" w:cs="Times New Roman"/>
          <w:sz w:val="24"/>
          <w:szCs w:val="24"/>
          <w:lang w:val="en-US"/>
        </w:rPr>
        <w:t xml:space="preserve">sectors, </w:t>
      </w:r>
      <w:proofErr w:type="spellStart"/>
      <w:r w:rsidR="007B6A5B" w:rsidRPr="00982181">
        <w:rPr>
          <w:rFonts w:ascii="Times New Roman" w:hAnsi="Times New Roman" w:cs="Times New Roman"/>
          <w:sz w:val="24"/>
          <w:szCs w:val="24"/>
          <w:lang w:val="en-US"/>
        </w:rPr>
        <w:t>Vollero</w:t>
      </w:r>
      <w:proofErr w:type="spellEnd"/>
      <w:r w:rsidR="007B6A5B" w:rsidRPr="00982181">
        <w:rPr>
          <w:rFonts w:ascii="Times New Roman" w:hAnsi="Times New Roman" w:cs="Times New Roman"/>
          <w:sz w:val="24"/>
          <w:szCs w:val="24"/>
          <w:lang w:val="en-US"/>
        </w:rPr>
        <w:t xml:space="preserve"> et al. </w:t>
      </w:r>
      <w:r w:rsidR="00F3370E" w:rsidRPr="00982181">
        <w:rPr>
          <w:rFonts w:ascii="Times New Roman" w:hAnsi="Times New Roman" w:cs="Times New Roman"/>
          <w:sz w:val="24"/>
          <w:lang w:val="en-US"/>
        </w:rPr>
        <w:t>(2019)</w:t>
      </w:r>
      <w:r w:rsidR="007B6A5B" w:rsidRPr="00982181">
        <w:rPr>
          <w:rFonts w:ascii="Times New Roman" w:hAnsi="Times New Roman" w:cs="Times New Roman"/>
          <w:sz w:val="24"/>
          <w:szCs w:val="24"/>
          <w:lang w:val="en-US"/>
        </w:rPr>
        <w:t xml:space="preserve"> </w:t>
      </w:r>
      <w:r w:rsidR="007A5165" w:rsidRPr="00982181">
        <w:rPr>
          <w:rFonts w:ascii="Times New Roman" w:hAnsi="Times New Roman" w:cs="Times New Roman"/>
          <w:sz w:val="24"/>
          <w:szCs w:val="24"/>
          <w:lang w:val="en-US"/>
        </w:rPr>
        <w:t>posit</w:t>
      </w:r>
      <w:r w:rsidR="007B6A5B" w:rsidRPr="00982181">
        <w:rPr>
          <w:rFonts w:ascii="Times New Roman" w:hAnsi="Times New Roman" w:cs="Times New Roman"/>
          <w:sz w:val="24"/>
          <w:szCs w:val="24"/>
          <w:lang w:val="en-US"/>
        </w:rPr>
        <w:t xml:space="preserve"> that</w:t>
      </w:r>
      <w:r w:rsidR="001F11C5" w:rsidRPr="00982181">
        <w:rPr>
          <w:rFonts w:ascii="Times New Roman" w:hAnsi="Times New Roman" w:cs="Times New Roman"/>
          <w:sz w:val="24"/>
          <w:szCs w:val="24"/>
          <w:lang w:val="en-US"/>
        </w:rPr>
        <w:t>, in addition to communication strategies,</w:t>
      </w:r>
      <w:r w:rsidR="007B6A5B" w:rsidRPr="00982181">
        <w:rPr>
          <w:rFonts w:ascii="Times New Roman" w:hAnsi="Times New Roman" w:cs="Times New Roman"/>
          <w:sz w:val="24"/>
          <w:szCs w:val="24"/>
          <w:lang w:val="en-US"/>
        </w:rPr>
        <w:t xml:space="preserve"> organizations </w:t>
      </w:r>
      <w:r w:rsidR="0000452B" w:rsidRPr="00982181">
        <w:rPr>
          <w:rFonts w:ascii="Times New Roman" w:hAnsi="Times New Roman" w:cs="Times New Roman"/>
          <w:sz w:val="24"/>
          <w:szCs w:val="24"/>
          <w:lang w:val="en-US"/>
        </w:rPr>
        <w:t>are</w:t>
      </w:r>
      <w:r w:rsidR="007A5165" w:rsidRPr="00982181">
        <w:rPr>
          <w:rFonts w:ascii="Times New Roman" w:hAnsi="Times New Roman" w:cs="Times New Roman"/>
          <w:sz w:val="24"/>
          <w:szCs w:val="24"/>
          <w:lang w:val="en-US"/>
        </w:rPr>
        <w:t xml:space="preserve"> </w:t>
      </w:r>
      <w:r w:rsidR="007B6A5B" w:rsidRPr="00982181">
        <w:rPr>
          <w:rFonts w:ascii="Times New Roman" w:hAnsi="Times New Roman" w:cs="Times New Roman"/>
          <w:sz w:val="24"/>
          <w:szCs w:val="24"/>
          <w:lang w:val="en-US"/>
        </w:rPr>
        <w:t xml:space="preserve">more likely to </w:t>
      </w:r>
      <w:r w:rsidR="00416E91" w:rsidRPr="00982181">
        <w:rPr>
          <w:rFonts w:ascii="Times New Roman" w:hAnsi="Times New Roman" w:cs="Times New Roman"/>
          <w:sz w:val="24"/>
          <w:szCs w:val="24"/>
          <w:lang w:val="en-US"/>
        </w:rPr>
        <w:t>favor initiatives</w:t>
      </w:r>
      <w:r w:rsidR="00B43947" w:rsidRPr="00982181">
        <w:rPr>
          <w:rFonts w:ascii="Times New Roman" w:hAnsi="Times New Roman" w:cs="Times New Roman"/>
          <w:sz w:val="24"/>
          <w:szCs w:val="24"/>
          <w:lang w:val="en-US"/>
        </w:rPr>
        <w:t xml:space="preserve"> </w:t>
      </w:r>
      <w:r w:rsidR="007A5165" w:rsidRPr="00982181">
        <w:rPr>
          <w:rFonts w:ascii="Times New Roman" w:hAnsi="Times New Roman" w:cs="Times New Roman"/>
          <w:sz w:val="24"/>
          <w:szCs w:val="24"/>
          <w:lang w:val="en-US"/>
        </w:rPr>
        <w:t xml:space="preserve">that </w:t>
      </w:r>
      <w:r w:rsidR="00E54D8C" w:rsidRPr="00982181">
        <w:rPr>
          <w:rFonts w:ascii="Times New Roman" w:hAnsi="Times New Roman" w:cs="Times New Roman"/>
          <w:sz w:val="24"/>
          <w:szCs w:val="24"/>
          <w:lang w:val="en-US"/>
        </w:rPr>
        <w:t>imply</w:t>
      </w:r>
      <w:r w:rsidR="007A5165" w:rsidRPr="00982181">
        <w:rPr>
          <w:rFonts w:ascii="Times New Roman" w:hAnsi="Times New Roman" w:cs="Times New Roman"/>
          <w:sz w:val="24"/>
          <w:szCs w:val="24"/>
          <w:lang w:val="en-US"/>
        </w:rPr>
        <w:t xml:space="preserve"> high </w:t>
      </w:r>
      <w:r w:rsidR="00B43947" w:rsidRPr="00982181">
        <w:rPr>
          <w:rFonts w:ascii="Times New Roman" w:hAnsi="Times New Roman" w:cs="Times New Roman"/>
          <w:sz w:val="24"/>
          <w:szCs w:val="24"/>
          <w:lang w:val="en-US"/>
        </w:rPr>
        <w:t xml:space="preserve">level of </w:t>
      </w:r>
      <w:r w:rsidR="00416E91" w:rsidRPr="00982181">
        <w:rPr>
          <w:rFonts w:ascii="Times New Roman" w:hAnsi="Times New Roman" w:cs="Times New Roman"/>
          <w:sz w:val="24"/>
          <w:szCs w:val="24"/>
          <w:lang w:val="en-US"/>
        </w:rPr>
        <w:t>commitment</w:t>
      </w:r>
      <w:r w:rsidR="004D6A7B" w:rsidRPr="00982181">
        <w:rPr>
          <w:rFonts w:ascii="Times New Roman" w:hAnsi="Times New Roman" w:cs="Times New Roman"/>
          <w:sz w:val="24"/>
          <w:szCs w:val="24"/>
          <w:lang w:val="en-US"/>
        </w:rPr>
        <w:t>s</w:t>
      </w:r>
      <w:r w:rsidR="007B6A5B" w:rsidRPr="00982181">
        <w:rPr>
          <w:rFonts w:ascii="Times New Roman" w:hAnsi="Times New Roman" w:cs="Times New Roman"/>
          <w:sz w:val="24"/>
          <w:szCs w:val="24"/>
          <w:lang w:val="en-US"/>
        </w:rPr>
        <w:t>.</w:t>
      </w:r>
      <w:r w:rsidR="00A078C5" w:rsidRPr="00982181">
        <w:rPr>
          <w:rFonts w:ascii="Times New Roman" w:hAnsi="Times New Roman" w:cs="Times New Roman"/>
          <w:sz w:val="24"/>
          <w:szCs w:val="24"/>
          <w:lang w:val="en-US"/>
        </w:rPr>
        <w:t xml:space="preserve"> </w:t>
      </w:r>
      <w:r w:rsidR="00450CD8" w:rsidRPr="00982181">
        <w:rPr>
          <w:rFonts w:ascii="Times New Roman" w:hAnsi="Times New Roman" w:cs="Times New Roman"/>
          <w:sz w:val="24"/>
          <w:szCs w:val="24"/>
          <w:lang w:val="en-US"/>
        </w:rPr>
        <w:t>Therefore, it</w:t>
      </w:r>
      <w:r w:rsidR="00450CD8" w:rsidRPr="00965419">
        <w:rPr>
          <w:rFonts w:ascii="Times New Roman" w:hAnsi="Times New Roman" w:cs="Times New Roman"/>
          <w:sz w:val="24"/>
          <w:szCs w:val="24"/>
          <w:lang w:val="en-US"/>
        </w:rPr>
        <w:t xml:space="preserve"> is especially relevant to focus our study in sensitive industries.</w:t>
      </w:r>
    </w:p>
    <w:p w14:paraId="129E2332" w14:textId="3147D700" w:rsidR="00D96F1A" w:rsidRDefault="00723A37" w:rsidP="00723A3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some researchers have predominantly focused on firms’ motivations and actions to </w:t>
      </w:r>
      <w:r w:rsidR="00650C35">
        <w:rPr>
          <w:rFonts w:ascii="Times New Roman" w:hAnsi="Times New Roman" w:cs="Times New Roman"/>
          <w:sz w:val="24"/>
          <w:szCs w:val="24"/>
          <w:lang w:val="en-US"/>
        </w:rPr>
        <w:t xml:space="preserve">seek and </w:t>
      </w:r>
      <w:r>
        <w:rPr>
          <w:rFonts w:ascii="Times New Roman" w:hAnsi="Times New Roman" w:cs="Times New Roman"/>
          <w:sz w:val="24"/>
          <w:szCs w:val="24"/>
          <w:lang w:val="en-US"/>
        </w:rPr>
        <w:t xml:space="preserve">gain </w:t>
      </w:r>
      <w:r w:rsidRPr="00450CD8">
        <w:rPr>
          <w:rFonts w:ascii="Times New Roman" w:hAnsi="Times New Roman" w:cs="Times New Roman"/>
          <w:sz w:val="24"/>
          <w:szCs w:val="24"/>
          <w:lang w:val="en-US"/>
        </w:rPr>
        <w:t xml:space="preserve">legitimacy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Busse</w:t>
      </w:r>
      <w:proofErr w:type="spellEnd"/>
      <w:r w:rsidR="00F3370E" w:rsidRPr="007A6E4B">
        <w:rPr>
          <w:rFonts w:ascii="Times New Roman" w:hAnsi="Times New Roman" w:cs="Times New Roman"/>
          <w:sz w:val="24"/>
          <w:lang w:val="en-US"/>
        </w:rPr>
        <w:t xml:space="preserve"> et al., 2016; </w:t>
      </w:r>
      <w:proofErr w:type="spellStart"/>
      <w:r w:rsidR="00F3370E" w:rsidRPr="007A6E4B">
        <w:rPr>
          <w:rFonts w:ascii="Times New Roman" w:hAnsi="Times New Roman" w:cs="Times New Roman"/>
          <w:sz w:val="24"/>
          <w:lang w:val="en-US"/>
        </w:rPr>
        <w:t>Czinkota</w:t>
      </w:r>
      <w:proofErr w:type="spellEnd"/>
      <w:r w:rsidR="00F3370E" w:rsidRPr="007A6E4B">
        <w:rPr>
          <w:rFonts w:ascii="Times New Roman" w:hAnsi="Times New Roman" w:cs="Times New Roman"/>
          <w:sz w:val="24"/>
          <w:lang w:val="en-US"/>
        </w:rPr>
        <w:t xml:space="preserve"> et al., 2014)</w:t>
      </w:r>
      <w:r w:rsidRPr="002046C2">
        <w:rPr>
          <w:rFonts w:ascii="Times New Roman" w:hAnsi="Times New Roman" w:cs="Times New Roman"/>
          <w:sz w:val="24"/>
          <w:szCs w:val="24"/>
          <w:lang w:val="en-US"/>
        </w:rPr>
        <w:t>,</w:t>
      </w:r>
      <w:r>
        <w:rPr>
          <w:rFonts w:ascii="Times New Roman" w:hAnsi="Times New Roman" w:cs="Times New Roman"/>
          <w:sz w:val="24"/>
          <w:szCs w:val="24"/>
          <w:lang w:val="en-US"/>
        </w:rPr>
        <w:t xml:space="preserve"> we approach this issue from a different angle</w:t>
      </w:r>
      <w:r w:rsidR="00650C35">
        <w:rPr>
          <w:rFonts w:ascii="Times New Roman" w:hAnsi="Times New Roman" w:cs="Times New Roman"/>
          <w:sz w:val="24"/>
          <w:szCs w:val="24"/>
          <w:lang w:val="en-US"/>
        </w:rPr>
        <w:t>. In this study, we</w:t>
      </w:r>
      <w:r>
        <w:rPr>
          <w:rFonts w:ascii="Times New Roman" w:hAnsi="Times New Roman" w:cs="Times New Roman"/>
          <w:sz w:val="24"/>
          <w:szCs w:val="24"/>
          <w:lang w:val="en-US"/>
        </w:rPr>
        <w:t xml:space="preserve"> limit </w:t>
      </w:r>
      <w:r w:rsidR="00EC265F">
        <w:rPr>
          <w:rFonts w:ascii="Times New Roman" w:hAnsi="Times New Roman" w:cs="Times New Roman"/>
          <w:sz w:val="24"/>
          <w:szCs w:val="24"/>
          <w:lang w:val="en-US"/>
        </w:rPr>
        <w:t xml:space="preserve">our </w:t>
      </w:r>
      <w:r>
        <w:rPr>
          <w:rFonts w:ascii="Times New Roman" w:hAnsi="Times New Roman" w:cs="Times New Roman"/>
          <w:sz w:val="24"/>
          <w:szCs w:val="24"/>
          <w:lang w:val="en-US"/>
        </w:rPr>
        <w:t xml:space="preserve">attention to the potential loss of legitimacy </w:t>
      </w:r>
      <w:r w:rsidR="0058020B">
        <w:rPr>
          <w:rFonts w:ascii="Times New Roman" w:hAnsi="Times New Roman" w:cs="Times New Roman"/>
          <w:sz w:val="24"/>
          <w:szCs w:val="24"/>
          <w:lang w:val="en-US"/>
        </w:rPr>
        <w:t xml:space="preserve">derived from </w:t>
      </w:r>
      <w:r w:rsidR="002F0116">
        <w:rPr>
          <w:rFonts w:ascii="Times New Roman" w:hAnsi="Times New Roman" w:cs="Times New Roman"/>
          <w:sz w:val="24"/>
          <w:szCs w:val="24"/>
          <w:lang w:val="en-US"/>
        </w:rPr>
        <w:t xml:space="preserve">low </w:t>
      </w:r>
      <w:r w:rsidR="00003110">
        <w:rPr>
          <w:rFonts w:ascii="Times New Roman" w:hAnsi="Times New Roman" w:cs="Times New Roman"/>
          <w:sz w:val="24"/>
          <w:szCs w:val="24"/>
          <w:lang w:val="en-US"/>
        </w:rPr>
        <w:t xml:space="preserve">developments in </w:t>
      </w:r>
      <w:r w:rsidR="002F0116">
        <w:rPr>
          <w:rFonts w:ascii="Times New Roman" w:hAnsi="Times New Roman" w:cs="Times New Roman"/>
          <w:sz w:val="24"/>
          <w:szCs w:val="24"/>
          <w:lang w:val="en-US"/>
        </w:rPr>
        <w:t>sustainability</w:t>
      </w:r>
      <w:r w:rsidR="00EC265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C265F">
        <w:rPr>
          <w:rFonts w:ascii="Times New Roman" w:hAnsi="Times New Roman" w:cs="Times New Roman"/>
          <w:sz w:val="24"/>
          <w:szCs w:val="24"/>
          <w:lang w:val="en-US"/>
        </w:rPr>
        <w:t xml:space="preserve">This could happen </w:t>
      </w:r>
      <w:r w:rsidR="001F11C5">
        <w:rPr>
          <w:rFonts w:ascii="Times New Roman" w:hAnsi="Times New Roman" w:cs="Times New Roman"/>
          <w:sz w:val="24"/>
          <w:szCs w:val="24"/>
          <w:lang w:val="en-US"/>
        </w:rPr>
        <w:t xml:space="preserve">in </w:t>
      </w:r>
      <w:r w:rsidR="00EC265F">
        <w:rPr>
          <w:rFonts w:ascii="Times New Roman" w:hAnsi="Times New Roman" w:cs="Times New Roman"/>
          <w:sz w:val="24"/>
          <w:szCs w:val="24"/>
          <w:lang w:val="en-US"/>
        </w:rPr>
        <w:t>different ways. For example, f</w:t>
      </w:r>
      <w:r>
        <w:rPr>
          <w:rFonts w:ascii="Times New Roman" w:hAnsi="Times New Roman" w:cs="Times New Roman"/>
          <w:sz w:val="24"/>
          <w:szCs w:val="24"/>
          <w:lang w:val="en-US"/>
        </w:rPr>
        <w:t xml:space="preserve">irms can </w:t>
      </w:r>
      <w:r w:rsidR="00054CD2">
        <w:rPr>
          <w:rFonts w:ascii="Times New Roman" w:hAnsi="Times New Roman" w:cs="Times New Roman"/>
          <w:sz w:val="24"/>
          <w:szCs w:val="24"/>
          <w:lang w:val="en-US"/>
        </w:rPr>
        <w:t xml:space="preserve">jeopardize </w:t>
      </w:r>
      <w:r>
        <w:rPr>
          <w:rFonts w:ascii="Times New Roman" w:hAnsi="Times New Roman" w:cs="Times New Roman"/>
          <w:sz w:val="24"/>
          <w:szCs w:val="24"/>
          <w:lang w:val="en-US"/>
        </w:rPr>
        <w:t>their legitimacy status by symbolically adopting a policy</w:t>
      </w:r>
      <w:r w:rsidR="00054CD2">
        <w:rPr>
          <w:rFonts w:ascii="Times New Roman" w:hAnsi="Times New Roman" w:cs="Times New Roman"/>
          <w:sz w:val="24"/>
          <w:szCs w:val="24"/>
          <w:lang w:val="en-US"/>
        </w:rPr>
        <w:t>,</w:t>
      </w:r>
      <w:r>
        <w:rPr>
          <w:rFonts w:ascii="Times New Roman" w:hAnsi="Times New Roman" w:cs="Times New Roman"/>
          <w:sz w:val="24"/>
          <w:szCs w:val="24"/>
          <w:lang w:val="en-US"/>
        </w:rPr>
        <w:t xml:space="preserve"> without </w:t>
      </w:r>
      <w:r w:rsidR="00054CD2">
        <w:rPr>
          <w:rFonts w:ascii="Times New Roman" w:hAnsi="Times New Roman" w:cs="Times New Roman"/>
          <w:sz w:val="24"/>
          <w:szCs w:val="24"/>
          <w:lang w:val="en-US"/>
        </w:rPr>
        <w:t xml:space="preserve">implementing </w:t>
      </w:r>
      <w:r w:rsidR="002F0116">
        <w:rPr>
          <w:rFonts w:ascii="Times New Roman" w:hAnsi="Times New Roman" w:cs="Times New Roman"/>
          <w:sz w:val="24"/>
          <w:szCs w:val="24"/>
          <w:lang w:val="en-US"/>
        </w:rPr>
        <w:t>the corresponding process</w:t>
      </w:r>
      <w:r>
        <w:rPr>
          <w:rFonts w:ascii="Times New Roman" w:hAnsi="Times New Roman" w:cs="Times New Roman"/>
          <w:sz w:val="24"/>
          <w:szCs w:val="24"/>
          <w:lang w:val="en-US"/>
        </w:rPr>
        <w:t xml:space="preserve">. </w:t>
      </w:r>
      <w:r w:rsidR="0017210F">
        <w:rPr>
          <w:rFonts w:ascii="Times New Roman" w:hAnsi="Times New Roman" w:cs="Times New Roman"/>
          <w:sz w:val="24"/>
          <w:szCs w:val="24"/>
          <w:lang w:val="en-US"/>
        </w:rPr>
        <w:t>Or t</w:t>
      </w:r>
      <w:r w:rsidR="002F0116">
        <w:rPr>
          <w:rFonts w:ascii="Times New Roman" w:hAnsi="Times New Roman" w:cs="Times New Roman"/>
          <w:sz w:val="24"/>
          <w:szCs w:val="24"/>
          <w:lang w:val="en-US"/>
        </w:rPr>
        <w:t xml:space="preserve">hey </w:t>
      </w:r>
      <w:r w:rsidR="0017210F">
        <w:rPr>
          <w:rFonts w:ascii="Times New Roman" w:hAnsi="Times New Roman" w:cs="Times New Roman"/>
          <w:sz w:val="24"/>
          <w:szCs w:val="24"/>
          <w:lang w:val="en-US"/>
        </w:rPr>
        <w:t xml:space="preserve">could </w:t>
      </w:r>
      <w:r w:rsidR="002F0116">
        <w:rPr>
          <w:rFonts w:ascii="Times New Roman" w:hAnsi="Times New Roman" w:cs="Times New Roman"/>
          <w:sz w:val="24"/>
          <w:szCs w:val="24"/>
          <w:lang w:val="en-US"/>
        </w:rPr>
        <w:t xml:space="preserve">have </w:t>
      </w:r>
      <w:r w:rsidR="0017210F">
        <w:rPr>
          <w:rFonts w:ascii="Times New Roman" w:hAnsi="Times New Roman" w:cs="Times New Roman"/>
          <w:sz w:val="24"/>
          <w:szCs w:val="24"/>
          <w:lang w:val="en-US"/>
        </w:rPr>
        <w:t xml:space="preserve">formal </w:t>
      </w:r>
      <w:r w:rsidR="002F0116">
        <w:rPr>
          <w:rFonts w:ascii="Times New Roman" w:hAnsi="Times New Roman" w:cs="Times New Roman"/>
          <w:sz w:val="24"/>
          <w:szCs w:val="24"/>
          <w:lang w:val="en-US"/>
        </w:rPr>
        <w:t xml:space="preserve">policy and </w:t>
      </w:r>
      <w:r w:rsidR="0017210F">
        <w:rPr>
          <w:rFonts w:ascii="Times New Roman" w:hAnsi="Times New Roman" w:cs="Times New Roman"/>
          <w:sz w:val="24"/>
          <w:szCs w:val="24"/>
          <w:lang w:val="en-US"/>
        </w:rPr>
        <w:t xml:space="preserve">processes, </w:t>
      </w:r>
      <w:r w:rsidR="0017210F">
        <w:rPr>
          <w:rFonts w:ascii="Times New Roman" w:hAnsi="Times New Roman" w:cs="Times New Roman"/>
          <w:sz w:val="24"/>
          <w:szCs w:val="24"/>
          <w:lang w:val="en-US"/>
        </w:rPr>
        <w:t>without actually performing effective monitoring and corrective actions.</w:t>
      </w:r>
      <w:r w:rsidR="00CE5167">
        <w:rPr>
          <w:rFonts w:ascii="Times New Roman" w:hAnsi="Times New Roman" w:cs="Times New Roman"/>
          <w:sz w:val="24"/>
          <w:szCs w:val="24"/>
          <w:lang w:val="en-US"/>
        </w:rPr>
        <w:t xml:space="preserve"> </w:t>
      </w:r>
    </w:p>
    <w:p w14:paraId="3487D14F" w14:textId="4B77EA09" w:rsidR="00EC7C3D" w:rsidRDefault="00744FA3" w:rsidP="002C618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GB"/>
        </w:rPr>
        <w:t>R</w:t>
      </w:r>
      <w:r w:rsidR="006E1D67">
        <w:rPr>
          <w:rFonts w:ascii="Times New Roman" w:hAnsi="Times New Roman" w:cs="Times New Roman"/>
          <w:sz w:val="24"/>
          <w:szCs w:val="24"/>
          <w:lang w:val="en-GB"/>
        </w:rPr>
        <w:t>esearch</w:t>
      </w:r>
      <w:r w:rsidR="008E0B2B">
        <w:rPr>
          <w:rFonts w:ascii="Times New Roman" w:hAnsi="Times New Roman" w:cs="Times New Roman"/>
          <w:sz w:val="24"/>
          <w:szCs w:val="24"/>
          <w:lang w:val="en-GB"/>
        </w:rPr>
        <w:t>ers</w:t>
      </w:r>
      <w:r w:rsidR="006E1D67">
        <w:rPr>
          <w:rFonts w:ascii="Times New Roman" w:hAnsi="Times New Roman" w:cs="Times New Roman"/>
          <w:sz w:val="24"/>
          <w:szCs w:val="24"/>
          <w:lang w:val="en-GB"/>
        </w:rPr>
        <w:t xml:space="preserve"> ha</w:t>
      </w:r>
      <w:r w:rsidR="008E0B2B">
        <w:rPr>
          <w:rFonts w:ascii="Times New Roman" w:hAnsi="Times New Roman" w:cs="Times New Roman"/>
          <w:sz w:val="24"/>
          <w:szCs w:val="24"/>
          <w:lang w:val="en-GB"/>
        </w:rPr>
        <w:t>ve</w:t>
      </w:r>
      <w:r w:rsidR="006E1D67">
        <w:rPr>
          <w:rFonts w:ascii="Times New Roman" w:hAnsi="Times New Roman" w:cs="Times New Roman"/>
          <w:sz w:val="24"/>
          <w:szCs w:val="24"/>
          <w:lang w:val="en-GB"/>
        </w:rPr>
        <w:t xml:space="preserve"> </w:t>
      </w:r>
      <w:r w:rsidR="008E0B2B">
        <w:rPr>
          <w:rFonts w:ascii="Times New Roman" w:hAnsi="Times New Roman" w:cs="Times New Roman"/>
          <w:sz w:val="24"/>
          <w:szCs w:val="24"/>
          <w:lang w:val="en-GB"/>
        </w:rPr>
        <w:t xml:space="preserve">also </w:t>
      </w:r>
      <w:r w:rsidR="006E1D67">
        <w:rPr>
          <w:rFonts w:ascii="Times New Roman" w:hAnsi="Times New Roman" w:cs="Times New Roman"/>
          <w:sz w:val="24"/>
          <w:szCs w:val="24"/>
          <w:lang w:val="en-GB"/>
        </w:rPr>
        <w:t>expanded t</w:t>
      </w:r>
      <w:r w:rsidR="006E1D67">
        <w:rPr>
          <w:rFonts w:ascii="Times New Roman" w:hAnsi="Times New Roman" w:cs="Times New Roman"/>
          <w:sz w:val="24"/>
          <w:szCs w:val="24"/>
          <w:lang w:val="en-US"/>
        </w:rPr>
        <w:t>h</w:t>
      </w:r>
      <w:r w:rsidR="00E30B0B">
        <w:rPr>
          <w:rFonts w:ascii="Times New Roman" w:hAnsi="Times New Roman" w:cs="Times New Roman"/>
          <w:sz w:val="24"/>
          <w:szCs w:val="24"/>
          <w:lang w:val="en-US"/>
        </w:rPr>
        <w:t>e</w:t>
      </w:r>
      <w:r w:rsidR="006E1D67">
        <w:rPr>
          <w:rFonts w:ascii="Times New Roman" w:hAnsi="Times New Roman" w:cs="Times New Roman"/>
          <w:sz w:val="24"/>
          <w:szCs w:val="24"/>
          <w:lang w:val="en-US"/>
        </w:rPr>
        <w:t xml:space="preserve"> </w:t>
      </w:r>
      <w:r w:rsidR="00723A37">
        <w:rPr>
          <w:rFonts w:ascii="Times New Roman" w:hAnsi="Times New Roman" w:cs="Times New Roman"/>
          <w:sz w:val="24"/>
          <w:szCs w:val="24"/>
          <w:lang w:val="en-US"/>
        </w:rPr>
        <w:t xml:space="preserve">congruency </w:t>
      </w:r>
      <w:r w:rsidR="00EC6A8B">
        <w:rPr>
          <w:rFonts w:ascii="Times New Roman" w:hAnsi="Times New Roman" w:cs="Times New Roman"/>
          <w:sz w:val="24"/>
          <w:szCs w:val="24"/>
          <w:lang w:val="en-US"/>
        </w:rPr>
        <w:t xml:space="preserve">argument </w:t>
      </w:r>
      <w:r w:rsidR="00723A37">
        <w:rPr>
          <w:rFonts w:ascii="Times New Roman" w:hAnsi="Times New Roman" w:cs="Times New Roman"/>
          <w:sz w:val="24"/>
          <w:szCs w:val="24"/>
          <w:lang w:val="en-US"/>
        </w:rPr>
        <w:t xml:space="preserve">beyond </w:t>
      </w:r>
      <w:r w:rsidR="00BA33D3">
        <w:rPr>
          <w:rFonts w:ascii="Times New Roman" w:hAnsi="Times New Roman" w:cs="Times New Roman"/>
          <w:sz w:val="24"/>
          <w:szCs w:val="24"/>
          <w:lang w:val="en-US"/>
        </w:rPr>
        <w:t xml:space="preserve">a </w:t>
      </w:r>
      <w:r w:rsidR="00723A37">
        <w:rPr>
          <w:rFonts w:ascii="Times New Roman" w:hAnsi="Times New Roman" w:cs="Times New Roman"/>
          <w:sz w:val="24"/>
          <w:szCs w:val="24"/>
          <w:lang w:val="en-US"/>
        </w:rPr>
        <w:t>firm’s</w:t>
      </w:r>
      <w:r w:rsidR="00723A37" w:rsidRPr="00873B4D">
        <w:rPr>
          <w:rFonts w:ascii="Times New Roman" w:hAnsi="Times New Roman" w:cs="Times New Roman"/>
          <w:sz w:val="24"/>
          <w:szCs w:val="24"/>
          <w:lang w:val="en-US"/>
        </w:rPr>
        <w:t xml:space="preserve"> boundaries</w:t>
      </w:r>
      <w:r w:rsidR="00EC7C3D">
        <w:rPr>
          <w:rFonts w:ascii="Times New Roman" w:hAnsi="Times New Roman" w:cs="Times New Roman"/>
          <w:sz w:val="24"/>
          <w:szCs w:val="24"/>
          <w:lang w:val="en-US"/>
        </w:rPr>
        <w:t xml:space="preserve"> and linked </w:t>
      </w:r>
      <w:r w:rsidR="00BF337F">
        <w:rPr>
          <w:rFonts w:ascii="Times New Roman" w:hAnsi="Times New Roman" w:cs="Times New Roman"/>
          <w:sz w:val="24"/>
          <w:szCs w:val="24"/>
          <w:lang w:val="en-US"/>
        </w:rPr>
        <w:t xml:space="preserve">it </w:t>
      </w:r>
      <w:r w:rsidR="00EC7C3D">
        <w:rPr>
          <w:rFonts w:ascii="Times New Roman" w:hAnsi="Times New Roman" w:cs="Times New Roman"/>
          <w:sz w:val="24"/>
          <w:szCs w:val="24"/>
          <w:lang w:val="en-US"/>
        </w:rPr>
        <w:t>to sustainable supply chain</w:t>
      </w:r>
      <w:r w:rsidR="00BF337F">
        <w:rPr>
          <w:rFonts w:ascii="Times New Roman" w:hAnsi="Times New Roman" w:cs="Times New Roman"/>
          <w:sz w:val="24"/>
          <w:szCs w:val="24"/>
          <w:lang w:val="en-US"/>
        </w:rPr>
        <w:t>s</w:t>
      </w:r>
      <w:r w:rsidR="00922EC9">
        <w:rPr>
          <w:rFonts w:ascii="Times New Roman" w:hAnsi="Times New Roman" w:cs="Times New Roman"/>
          <w:sz w:val="24"/>
          <w:szCs w:val="24"/>
          <w:lang w:val="en-US"/>
        </w:rPr>
        <w:t xml:space="preserve">. </w:t>
      </w:r>
      <w:r w:rsidR="00723A37">
        <w:rPr>
          <w:rFonts w:ascii="Times New Roman" w:hAnsi="Times New Roman" w:cs="Times New Roman"/>
          <w:sz w:val="24"/>
          <w:szCs w:val="24"/>
          <w:lang w:val="en-US"/>
        </w:rPr>
        <w:t xml:space="preserve">In this sense, </w:t>
      </w:r>
      <w:r w:rsidR="00723A37" w:rsidRPr="00836B71">
        <w:rPr>
          <w:rFonts w:ascii="Times New Roman" w:hAnsi="Times New Roman" w:cs="Times New Roman"/>
          <w:sz w:val="24"/>
          <w:szCs w:val="24"/>
          <w:lang w:val="en-US"/>
        </w:rPr>
        <w:t>e</w:t>
      </w:r>
      <w:r w:rsidR="00723A37" w:rsidRPr="00C74FC4">
        <w:rPr>
          <w:rFonts w:ascii="Times New Roman" w:hAnsi="Times New Roman" w:cs="Times New Roman"/>
          <w:sz w:val="24"/>
          <w:szCs w:val="24"/>
          <w:lang w:val="en-US"/>
        </w:rPr>
        <w:t>ven if the root of a problem is located</w:t>
      </w:r>
      <w:r w:rsidR="00723A37">
        <w:rPr>
          <w:rFonts w:ascii="Times New Roman" w:hAnsi="Times New Roman" w:cs="Times New Roman"/>
          <w:sz w:val="24"/>
          <w:szCs w:val="24"/>
          <w:lang w:val="en-US"/>
        </w:rPr>
        <w:t xml:space="preserve"> on</w:t>
      </w:r>
      <w:r w:rsidR="00723A37" w:rsidRPr="00C74FC4">
        <w:rPr>
          <w:rFonts w:ascii="Times New Roman" w:hAnsi="Times New Roman" w:cs="Times New Roman"/>
          <w:sz w:val="24"/>
          <w:szCs w:val="24"/>
          <w:lang w:val="en-US"/>
        </w:rPr>
        <w:t xml:space="preserve"> </w:t>
      </w:r>
      <w:r w:rsidR="00450CD8">
        <w:rPr>
          <w:rFonts w:ascii="Times New Roman" w:hAnsi="Times New Roman" w:cs="Times New Roman"/>
          <w:sz w:val="24"/>
          <w:szCs w:val="24"/>
          <w:lang w:val="en-US"/>
        </w:rPr>
        <w:t>a</w:t>
      </w:r>
      <w:r w:rsidR="00450CD8" w:rsidRPr="00C74FC4">
        <w:rPr>
          <w:rFonts w:ascii="Times New Roman" w:hAnsi="Times New Roman" w:cs="Times New Roman"/>
          <w:sz w:val="24"/>
          <w:szCs w:val="24"/>
          <w:lang w:val="en-US"/>
        </w:rPr>
        <w:t xml:space="preserve"> </w:t>
      </w:r>
      <w:r w:rsidR="00723A37" w:rsidRPr="00C74FC4">
        <w:rPr>
          <w:rFonts w:ascii="Times New Roman" w:hAnsi="Times New Roman" w:cs="Times New Roman"/>
          <w:sz w:val="24"/>
          <w:szCs w:val="24"/>
          <w:lang w:val="en-US"/>
        </w:rPr>
        <w:t xml:space="preserve">supplier, society may </w:t>
      </w:r>
      <w:r w:rsidR="00E57E63" w:rsidRPr="00C74FC4">
        <w:rPr>
          <w:rFonts w:ascii="Times New Roman" w:hAnsi="Times New Roman" w:cs="Times New Roman"/>
          <w:sz w:val="24"/>
          <w:szCs w:val="24"/>
          <w:lang w:val="en-US"/>
        </w:rPr>
        <w:t xml:space="preserve">also </w:t>
      </w:r>
      <w:r w:rsidR="00723A37" w:rsidRPr="00C74FC4">
        <w:rPr>
          <w:rFonts w:ascii="Times New Roman" w:hAnsi="Times New Roman" w:cs="Times New Roman"/>
          <w:sz w:val="24"/>
          <w:szCs w:val="24"/>
          <w:lang w:val="en-US"/>
        </w:rPr>
        <w:t>tend to blame the focal company</w:t>
      </w:r>
      <w:r w:rsidR="00A475E8">
        <w:rPr>
          <w:rFonts w:ascii="Times New Roman" w:hAnsi="Times New Roman" w:cs="Times New Roman"/>
          <w:sz w:val="24"/>
          <w:szCs w:val="24"/>
          <w:lang w:val="en-US"/>
        </w:rPr>
        <w:t xml:space="preserve">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Pizzetti</w:t>
      </w:r>
      <w:proofErr w:type="spellEnd"/>
      <w:r w:rsidR="00F3370E" w:rsidRPr="007A6E4B">
        <w:rPr>
          <w:rFonts w:ascii="Times New Roman" w:hAnsi="Times New Roman" w:cs="Times New Roman"/>
          <w:sz w:val="24"/>
          <w:lang w:val="en-US"/>
        </w:rPr>
        <w:t xml:space="preserve"> et al., 2021)</w:t>
      </w:r>
      <w:r w:rsidR="00723A37" w:rsidRPr="00C74FC4">
        <w:rPr>
          <w:rFonts w:ascii="Times New Roman" w:hAnsi="Times New Roman" w:cs="Times New Roman"/>
          <w:sz w:val="24"/>
          <w:szCs w:val="24"/>
          <w:lang w:val="en-US"/>
        </w:rPr>
        <w:t>.</w:t>
      </w:r>
      <w:r w:rsidR="004552C2">
        <w:rPr>
          <w:rFonts w:ascii="Times New Roman" w:hAnsi="Times New Roman" w:cs="Times New Roman"/>
          <w:sz w:val="24"/>
          <w:szCs w:val="24"/>
          <w:lang w:val="en-US"/>
        </w:rPr>
        <w:t xml:space="preserve"> </w:t>
      </w:r>
      <w:r w:rsidR="008E506E">
        <w:rPr>
          <w:rFonts w:ascii="Times New Roman" w:hAnsi="Times New Roman" w:cs="Times New Roman"/>
          <w:sz w:val="24"/>
          <w:szCs w:val="24"/>
          <w:lang w:val="en-US"/>
        </w:rPr>
        <w:t xml:space="preserve">As </w:t>
      </w:r>
      <w:r w:rsidR="00450CD8">
        <w:rPr>
          <w:rFonts w:ascii="Times New Roman" w:hAnsi="Times New Roman" w:cs="Times New Roman"/>
          <w:sz w:val="24"/>
          <w:szCs w:val="24"/>
          <w:lang w:val="en-US"/>
        </w:rPr>
        <w:t>anecdotal</w:t>
      </w:r>
      <w:r w:rsidR="008E506E">
        <w:rPr>
          <w:rFonts w:ascii="Times New Roman" w:hAnsi="Times New Roman" w:cs="Times New Roman"/>
          <w:sz w:val="24"/>
          <w:szCs w:val="24"/>
          <w:lang w:val="en-US"/>
        </w:rPr>
        <w:t xml:space="preserve"> evidence suggests, </w:t>
      </w:r>
      <w:r w:rsidR="008E506E" w:rsidRPr="00873B4D">
        <w:rPr>
          <w:rFonts w:ascii="Times New Roman" w:hAnsi="Times New Roman" w:cs="Times New Roman"/>
          <w:sz w:val="24"/>
          <w:szCs w:val="24"/>
          <w:lang w:val="en-US"/>
        </w:rPr>
        <w:t xml:space="preserve">it is very difficult to isolate the behavior of a firm from its supply chain </w:t>
      </w:r>
      <w:r w:rsidR="008E506E">
        <w:rPr>
          <w:rFonts w:ascii="Times New Roman" w:hAnsi="Times New Roman" w:cs="Times New Roman"/>
          <w:sz w:val="24"/>
          <w:szCs w:val="24"/>
          <w:lang w:val="en-US"/>
        </w:rPr>
        <w:t xml:space="preserve">partners. </w:t>
      </w:r>
      <w:r w:rsidR="002C618C">
        <w:rPr>
          <w:rFonts w:ascii="Times New Roman" w:hAnsi="Times New Roman" w:cs="Times New Roman"/>
          <w:sz w:val="24"/>
          <w:szCs w:val="24"/>
          <w:lang w:val="en-US"/>
        </w:rPr>
        <w:t xml:space="preserve">Therefore, when </w:t>
      </w:r>
      <w:r w:rsidR="00BF337F">
        <w:rPr>
          <w:rFonts w:ascii="Times New Roman" w:hAnsi="Times New Roman" w:cs="Times New Roman"/>
          <w:sz w:val="24"/>
          <w:szCs w:val="24"/>
          <w:lang w:val="en-US"/>
        </w:rPr>
        <w:t xml:space="preserve">a </w:t>
      </w:r>
      <w:r w:rsidR="002C618C">
        <w:rPr>
          <w:rFonts w:ascii="Times New Roman" w:hAnsi="Times New Roman" w:cs="Times New Roman"/>
          <w:sz w:val="24"/>
          <w:szCs w:val="24"/>
          <w:lang w:val="en-US"/>
        </w:rPr>
        <w:t xml:space="preserve">supplier has </w:t>
      </w:r>
      <w:r w:rsidR="008E0B2B">
        <w:rPr>
          <w:rFonts w:ascii="Times New Roman" w:hAnsi="Times New Roman" w:cs="Times New Roman"/>
          <w:sz w:val="24"/>
          <w:szCs w:val="24"/>
          <w:lang w:val="en-US"/>
        </w:rPr>
        <w:t>lower developments in sustainability</w:t>
      </w:r>
      <w:r w:rsidR="002C618C">
        <w:rPr>
          <w:rFonts w:ascii="Times New Roman" w:hAnsi="Times New Roman" w:cs="Times New Roman"/>
          <w:sz w:val="24"/>
          <w:szCs w:val="24"/>
          <w:lang w:val="en-US"/>
        </w:rPr>
        <w:t xml:space="preserve">, customers </w:t>
      </w:r>
      <w:r w:rsidR="00600FB0">
        <w:rPr>
          <w:rFonts w:ascii="Times New Roman" w:hAnsi="Times New Roman" w:cs="Times New Roman"/>
          <w:sz w:val="24"/>
          <w:szCs w:val="24"/>
          <w:lang w:val="en-US"/>
        </w:rPr>
        <w:t xml:space="preserve">may </w:t>
      </w:r>
      <w:r w:rsidR="00E57E63">
        <w:rPr>
          <w:rFonts w:ascii="Times New Roman" w:hAnsi="Times New Roman" w:cs="Times New Roman"/>
          <w:sz w:val="24"/>
          <w:szCs w:val="24"/>
          <w:lang w:val="en-US"/>
        </w:rPr>
        <w:t>penalize</w:t>
      </w:r>
      <w:r w:rsidR="002C618C">
        <w:rPr>
          <w:rFonts w:ascii="Times New Roman" w:hAnsi="Times New Roman" w:cs="Times New Roman"/>
          <w:sz w:val="24"/>
          <w:szCs w:val="24"/>
          <w:lang w:val="en-US"/>
        </w:rPr>
        <w:t xml:space="preserve"> the last stage of the supply chain (</w:t>
      </w:r>
      <w:r w:rsidR="00BA33D3">
        <w:rPr>
          <w:rFonts w:ascii="Times New Roman" w:hAnsi="Times New Roman" w:cs="Times New Roman"/>
          <w:sz w:val="24"/>
          <w:szCs w:val="24"/>
          <w:lang w:val="en-US"/>
        </w:rPr>
        <w:t>i.e.,</w:t>
      </w:r>
      <w:r w:rsidR="002C618C">
        <w:rPr>
          <w:rFonts w:ascii="Times New Roman" w:hAnsi="Times New Roman" w:cs="Times New Roman"/>
          <w:sz w:val="24"/>
          <w:szCs w:val="24"/>
          <w:lang w:val="en-US"/>
        </w:rPr>
        <w:t xml:space="preserve"> the buyer firm)</w:t>
      </w:r>
      <w:r w:rsidR="0058020B">
        <w:rPr>
          <w:rFonts w:ascii="Times New Roman" w:hAnsi="Times New Roman" w:cs="Times New Roman"/>
          <w:sz w:val="24"/>
          <w:szCs w:val="24"/>
          <w:lang w:val="en-US"/>
        </w:rPr>
        <w:t>,</w:t>
      </w:r>
      <w:r w:rsidR="002C618C">
        <w:rPr>
          <w:rFonts w:ascii="Times New Roman" w:hAnsi="Times New Roman" w:cs="Times New Roman"/>
          <w:sz w:val="24"/>
          <w:szCs w:val="24"/>
          <w:lang w:val="en-US"/>
        </w:rPr>
        <w:t xml:space="preserve"> by not buying its goods. </w:t>
      </w:r>
      <w:r w:rsidR="0058020B">
        <w:rPr>
          <w:rFonts w:ascii="Times New Roman" w:hAnsi="Times New Roman" w:cs="Times New Roman"/>
          <w:sz w:val="24"/>
          <w:szCs w:val="24"/>
          <w:lang w:val="en-US"/>
        </w:rPr>
        <w:t>B</w:t>
      </w:r>
      <w:r w:rsidR="00E41ED0" w:rsidRPr="00C74FC4">
        <w:rPr>
          <w:rFonts w:ascii="Times New Roman" w:hAnsi="Times New Roman" w:cs="Times New Roman"/>
          <w:sz w:val="24"/>
          <w:szCs w:val="24"/>
          <w:lang w:val="en-US"/>
        </w:rPr>
        <w:t xml:space="preserve">uyer firms </w:t>
      </w:r>
      <w:r w:rsidR="00E41ED0">
        <w:rPr>
          <w:rFonts w:ascii="Times New Roman" w:hAnsi="Times New Roman" w:cs="Times New Roman"/>
          <w:sz w:val="24"/>
          <w:szCs w:val="24"/>
          <w:lang w:val="en-US"/>
        </w:rPr>
        <w:t xml:space="preserve">are </w:t>
      </w:r>
      <w:r w:rsidR="00E41ED0" w:rsidRPr="00C74FC4">
        <w:rPr>
          <w:rFonts w:ascii="Times New Roman" w:hAnsi="Times New Roman" w:cs="Times New Roman"/>
          <w:sz w:val="24"/>
          <w:szCs w:val="24"/>
          <w:lang w:val="en-US"/>
        </w:rPr>
        <w:t xml:space="preserve">perceived as </w:t>
      </w:r>
      <w:r w:rsidR="000F78E6">
        <w:rPr>
          <w:rFonts w:ascii="Times New Roman" w:hAnsi="Times New Roman" w:cs="Times New Roman"/>
          <w:sz w:val="24"/>
          <w:szCs w:val="24"/>
          <w:lang w:val="en-US"/>
        </w:rPr>
        <w:t xml:space="preserve">being </w:t>
      </w:r>
      <w:r w:rsidR="00E41ED0" w:rsidRPr="00C74FC4">
        <w:rPr>
          <w:rFonts w:ascii="Times New Roman" w:hAnsi="Times New Roman" w:cs="Times New Roman"/>
          <w:sz w:val="24"/>
          <w:szCs w:val="24"/>
          <w:lang w:val="en-US"/>
        </w:rPr>
        <w:t>primarily responsible for the harm to the natural or soci</w:t>
      </w:r>
      <w:r w:rsidR="00E41ED0">
        <w:rPr>
          <w:rFonts w:ascii="Times New Roman" w:hAnsi="Times New Roman" w:cs="Times New Roman"/>
          <w:sz w:val="24"/>
          <w:szCs w:val="24"/>
          <w:lang w:val="en-US"/>
        </w:rPr>
        <w:t>etal</w:t>
      </w:r>
      <w:r w:rsidR="00E41ED0" w:rsidRPr="00C74FC4">
        <w:rPr>
          <w:rFonts w:ascii="Times New Roman" w:hAnsi="Times New Roman" w:cs="Times New Roman"/>
          <w:sz w:val="24"/>
          <w:szCs w:val="24"/>
          <w:lang w:val="en-US"/>
        </w:rPr>
        <w:t xml:space="preserve"> systems that their suppliers may cause</w:t>
      </w:r>
      <w:r w:rsidR="0058020B">
        <w:rPr>
          <w:rFonts w:ascii="Times New Roman" w:hAnsi="Times New Roman" w:cs="Times New Roman"/>
          <w:sz w:val="24"/>
          <w:szCs w:val="24"/>
          <w:lang w:val="en-US"/>
        </w:rPr>
        <w:t xml:space="preserve">, because consumers consider that it is part of the </w:t>
      </w:r>
      <w:r w:rsidR="0058020B" w:rsidRPr="00873B4D">
        <w:rPr>
          <w:rFonts w:ascii="Times New Roman" w:hAnsi="Times New Roman" w:cs="Times New Roman"/>
          <w:sz w:val="24"/>
          <w:szCs w:val="24"/>
          <w:lang w:val="en-US"/>
        </w:rPr>
        <w:t>buyer’s responsibility to inhibit and control such behaviors</w:t>
      </w:r>
      <w:r w:rsidR="00E41ED0">
        <w:rPr>
          <w:rFonts w:ascii="Times New Roman" w:hAnsi="Times New Roman" w:cs="Times New Roman"/>
          <w:sz w:val="24"/>
          <w:szCs w:val="24"/>
          <w:lang w:val="en-US"/>
        </w:rPr>
        <w:t xml:space="preserve"> </w:t>
      </w:r>
      <w:r w:rsidR="00F3370E" w:rsidRPr="007A6E4B">
        <w:rPr>
          <w:rFonts w:ascii="Times New Roman" w:hAnsi="Times New Roman" w:cs="Times New Roman"/>
          <w:sz w:val="24"/>
          <w:lang w:val="en-US"/>
        </w:rPr>
        <w:t>(Guo et al., 2015)</w:t>
      </w:r>
      <w:r w:rsidR="00E41ED0" w:rsidRPr="00C74FC4">
        <w:rPr>
          <w:rFonts w:ascii="Times New Roman" w:hAnsi="Times New Roman" w:cs="Times New Roman"/>
          <w:sz w:val="24"/>
          <w:szCs w:val="24"/>
          <w:lang w:val="en-US"/>
        </w:rPr>
        <w:t>.</w:t>
      </w:r>
      <w:r w:rsidR="00E41ED0">
        <w:rPr>
          <w:rFonts w:ascii="Times New Roman" w:hAnsi="Times New Roman" w:cs="Times New Roman"/>
          <w:sz w:val="24"/>
          <w:szCs w:val="24"/>
          <w:lang w:val="en-US"/>
        </w:rPr>
        <w:t xml:space="preserve"> </w:t>
      </w:r>
      <w:r w:rsidR="002C618C">
        <w:rPr>
          <w:rFonts w:ascii="Times New Roman" w:hAnsi="Times New Roman" w:cs="Times New Roman"/>
          <w:sz w:val="24"/>
          <w:szCs w:val="24"/>
          <w:lang w:val="en-US"/>
        </w:rPr>
        <w:t xml:space="preserve">If the buyer firm belongs to a sensitive </w:t>
      </w:r>
      <w:r w:rsidR="008E506E">
        <w:rPr>
          <w:rFonts w:ascii="Times New Roman" w:hAnsi="Times New Roman" w:cs="Times New Roman"/>
          <w:sz w:val="24"/>
          <w:szCs w:val="24"/>
          <w:lang w:val="en-US"/>
        </w:rPr>
        <w:t>industry</w:t>
      </w:r>
      <w:r w:rsidR="002C618C">
        <w:rPr>
          <w:rFonts w:ascii="Times New Roman" w:hAnsi="Times New Roman" w:cs="Times New Roman"/>
          <w:sz w:val="24"/>
          <w:szCs w:val="24"/>
          <w:lang w:val="en-US"/>
        </w:rPr>
        <w:t xml:space="preserve">, </w:t>
      </w:r>
      <w:r w:rsidR="00BF337F">
        <w:rPr>
          <w:rFonts w:ascii="Times New Roman" w:hAnsi="Times New Roman" w:cs="Times New Roman"/>
          <w:sz w:val="24"/>
          <w:szCs w:val="24"/>
          <w:lang w:val="en-US"/>
        </w:rPr>
        <w:t xml:space="preserve">this effect </w:t>
      </w:r>
      <w:r w:rsidR="0049226C">
        <w:rPr>
          <w:rFonts w:ascii="Times New Roman" w:hAnsi="Times New Roman" w:cs="Times New Roman"/>
          <w:sz w:val="24"/>
          <w:szCs w:val="24"/>
          <w:lang w:val="en-US"/>
        </w:rPr>
        <w:t xml:space="preserve">may </w:t>
      </w:r>
      <w:r w:rsidR="002C618C">
        <w:rPr>
          <w:rFonts w:ascii="Times New Roman" w:hAnsi="Times New Roman" w:cs="Times New Roman"/>
          <w:sz w:val="24"/>
          <w:szCs w:val="24"/>
          <w:lang w:val="en-US"/>
        </w:rPr>
        <w:t xml:space="preserve">become even more </w:t>
      </w:r>
      <w:r w:rsidR="00E30B0B">
        <w:rPr>
          <w:rFonts w:ascii="Times New Roman" w:hAnsi="Times New Roman" w:cs="Times New Roman"/>
          <w:sz w:val="24"/>
          <w:szCs w:val="24"/>
          <w:lang w:val="en-US"/>
        </w:rPr>
        <w:t>salient</w:t>
      </w:r>
      <w:r w:rsidR="00600FB0">
        <w:rPr>
          <w:rFonts w:ascii="Times New Roman" w:hAnsi="Times New Roman" w:cs="Times New Roman"/>
          <w:sz w:val="24"/>
          <w:szCs w:val="24"/>
          <w:lang w:val="en-US"/>
        </w:rPr>
        <w:t xml:space="preserve">. </w:t>
      </w:r>
      <w:r w:rsidR="0049226C">
        <w:rPr>
          <w:rFonts w:ascii="Times New Roman" w:hAnsi="Times New Roman" w:cs="Times New Roman"/>
          <w:sz w:val="24"/>
          <w:szCs w:val="24"/>
          <w:lang w:val="en-US"/>
        </w:rPr>
        <w:t>R</w:t>
      </w:r>
      <w:r w:rsidR="002C618C">
        <w:rPr>
          <w:rFonts w:ascii="Times New Roman" w:hAnsi="Times New Roman" w:cs="Times New Roman"/>
          <w:sz w:val="24"/>
          <w:szCs w:val="24"/>
          <w:lang w:val="en-US"/>
        </w:rPr>
        <w:t xml:space="preserve">ecent </w:t>
      </w:r>
      <w:r w:rsidR="00723A37" w:rsidRPr="00C74FC4">
        <w:rPr>
          <w:rFonts w:ascii="Times New Roman" w:hAnsi="Times New Roman" w:cs="Times New Roman"/>
          <w:sz w:val="24"/>
          <w:szCs w:val="24"/>
          <w:lang w:val="en-US"/>
        </w:rPr>
        <w:t>sustainability scandals (</w:t>
      </w:r>
      <w:r w:rsidR="00F22FB4">
        <w:rPr>
          <w:rFonts w:ascii="Times New Roman" w:hAnsi="Times New Roman" w:cs="Times New Roman"/>
          <w:sz w:val="24"/>
          <w:szCs w:val="24"/>
          <w:lang w:val="en-US"/>
        </w:rPr>
        <w:t>e.g.,</w:t>
      </w:r>
      <w:r w:rsidR="00723A37" w:rsidRPr="00C74FC4">
        <w:rPr>
          <w:rFonts w:ascii="Times New Roman" w:hAnsi="Times New Roman" w:cs="Times New Roman"/>
          <w:sz w:val="24"/>
          <w:szCs w:val="24"/>
          <w:lang w:val="en-US"/>
        </w:rPr>
        <w:t xml:space="preserve"> the </w:t>
      </w:r>
      <w:r w:rsidR="00A56D8B" w:rsidRPr="00A56D8B">
        <w:rPr>
          <w:rFonts w:ascii="Times New Roman" w:hAnsi="Times New Roman" w:cs="Times New Roman"/>
          <w:sz w:val="24"/>
          <w:szCs w:val="24"/>
          <w:lang w:val="en-US"/>
        </w:rPr>
        <w:t>Boohoo</w:t>
      </w:r>
      <w:r w:rsidR="00A56D8B">
        <w:rPr>
          <w:rFonts w:ascii="Times New Roman" w:hAnsi="Times New Roman" w:cs="Times New Roman"/>
          <w:sz w:val="24"/>
          <w:szCs w:val="24"/>
          <w:lang w:val="en-US"/>
        </w:rPr>
        <w:t xml:space="preserve"> </w:t>
      </w:r>
      <w:r w:rsidR="0049226C">
        <w:rPr>
          <w:rFonts w:ascii="Times New Roman" w:hAnsi="Times New Roman" w:cs="Times New Roman"/>
          <w:sz w:val="24"/>
          <w:szCs w:val="24"/>
          <w:lang w:val="en-US"/>
        </w:rPr>
        <w:t>labor exploitation crisis</w:t>
      </w:r>
      <w:r w:rsidR="00CE44C6">
        <w:rPr>
          <w:rFonts w:ascii="Times New Roman" w:hAnsi="Times New Roman" w:cs="Times New Roman"/>
          <w:sz w:val="24"/>
          <w:szCs w:val="24"/>
          <w:lang w:val="en-US"/>
        </w:rPr>
        <w:t xml:space="preserve"> -</w:t>
      </w:r>
      <w:r w:rsidR="00C80AD9">
        <w:rPr>
          <w:rFonts w:ascii="Times New Roman" w:hAnsi="Times New Roman" w:cs="Times New Roman"/>
          <w:sz w:val="24"/>
          <w:szCs w:val="24"/>
          <w:lang w:val="en-US"/>
        </w:rPr>
        <w:t xml:space="preserve"> </w:t>
      </w:r>
      <w:r w:rsidR="00F3370E" w:rsidRPr="00C80AD9">
        <w:rPr>
          <w:rFonts w:ascii="Times New Roman" w:hAnsi="Times New Roman" w:cs="Times New Roman"/>
          <w:sz w:val="24"/>
          <w:lang w:val="en-US"/>
        </w:rPr>
        <w:t>The New York Times, 2020)</w:t>
      </w:r>
      <w:r w:rsidR="00600FB0">
        <w:rPr>
          <w:rFonts w:ascii="Times New Roman" w:hAnsi="Times New Roman" w:cs="Times New Roman"/>
          <w:sz w:val="24"/>
          <w:szCs w:val="24"/>
          <w:lang w:val="en-US"/>
        </w:rPr>
        <w:t xml:space="preserve"> have </w:t>
      </w:r>
      <w:r w:rsidR="002C430A">
        <w:rPr>
          <w:rFonts w:ascii="Times New Roman" w:hAnsi="Times New Roman" w:cs="Times New Roman"/>
          <w:sz w:val="24"/>
          <w:szCs w:val="24"/>
          <w:lang w:val="en-US"/>
        </w:rPr>
        <w:t xml:space="preserve">augmented </w:t>
      </w:r>
      <w:r w:rsidR="00600FB0">
        <w:rPr>
          <w:rFonts w:ascii="Times New Roman" w:hAnsi="Times New Roman" w:cs="Times New Roman"/>
          <w:sz w:val="24"/>
          <w:szCs w:val="24"/>
          <w:lang w:val="en-US"/>
        </w:rPr>
        <w:t xml:space="preserve">societal </w:t>
      </w:r>
      <w:r w:rsidR="002C430A">
        <w:rPr>
          <w:rFonts w:ascii="Times New Roman" w:hAnsi="Times New Roman" w:cs="Times New Roman"/>
          <w:sz w:val="24"/>
          <w:szCs w:val="24"/>
          <w:lang w:val="en-US"/>
        </w:rPr>
        <w:t xml:space="preserve">pressure over buying firms </w:t>
      </w:r>
      <w:r w:rsidR="00F3370E" w:rsidRPr="007A6E4B">
        <w:rPr>
          <w:rFonts w:ascii="Times New Roman" w:hAnsi="Times New Roman" w:cs="Times New Roman"/>
          <w:sz w:val="24"/>
          <w:lang w:val="en-US"/>
        </w:rPr>
        <w:t>(Jacobs and Singhal, 2017)</w:t>
      </w:r>
      <w:r w:rsidR="00600FB0">
        <w:rPr>
          <w:rFonts w:ascii="Times New Roman" w:hAnsi="Times New Roman" w:cs="Times New Roman"/>
          <w:sz w:val="24"/>
          <w:szCs w:val="24"/>
          <w:lang w:val="en-US"/>
        </w:rPr>
        <w:t>.</w:t>
      </w:r>
      <w:r w:rsidR="00041954">
        <w:rPr>
          <w:rFonts w:ascii="Times New Roman" w:hAnsi="Times New Roman" w:cs="Times New Roman"/>
          <w:sz w:val="24"/>
          <w:szCs w:val="24"/>
          <w:lang w:val="en-US"/>
        </w:rPr>
        <w:t xml:space="preserve"> </w:t>
      </w:r>
      <w:r w:rsidR="00972584">
        <w:rPr>
          <w:rFonts w:ascii="Times New Roman" w:hAnsi="Times New Roman" w:cs="Times New Roman"/>
          <w:sz w:val="24"/>
          <w:szCs w:val="24"/>
          <w:lang w:val="en-US"/>
        </w:rPr>
        <w:t xml:space="preserve">The presence of </w:t>
      </w:r>
      <w:r w:rsidR="00322F95">
        <w:rPr>
          <w:rFonts w:ascii="Times New Roman" w:hAnsi="Times New Roman" w:cs="Times New Roman"/>
          <w:sz w:val="24"/>
          <w:szCs w:val="24"/>
          <w:lang w:val="en-US"/>
        </w:rPr>
        <w:t>sustainability</w:t>
      </w:r>
      <w:r w:rsidR="00041954">
        <w:rPr>
          <w:rFonts w:ascii="Times New Roman" w:hAnsi="Times New Roman" w:cs="Times New Roman"/>
          <w:sz w:val="24"/>
          <w:szCs w:val="24"/>
          <w:lang w:val="en-US"/>
        </w:rPr>
        <w:t xml:space="preserve"> asymmetries</w:t>
      </w:r>
      <w:r w:rsidR="00322F95">
        <w:rPr>
          <w:rFonts w:ascii="Times New Roman" w:hAnsi="Times New Roman" w:cs="Times New Roman"/>
          <w:sz w:val="24"/>
          <w:szCs w:val="24"/>
          <w:lang w:val="en-US"/>
        </w:rPr>
        <w:t xml:space="preserve"> </w:t>
      </w:r>
      <w:r w:rsidR="00322F95">
        <w:rPr>
          <w:rFonts w:ascii="Times New Roman" w:hAnsi="Times New Roman" w:cs="Times New Roman"/>
          <w:sz w:val="24"/>
          <w:szCs w:val="24"/>
          <w:lang w:val="en-US"/>
        </w:rPr>
        <w:lastRenderedPageBreak/>
        <w:t>between buyer and supplier firms</w:t>
      </w:r>
      <w:r w:rsidR="00041954">
        <w:rPr>
          <w:rFonts w:ascii="Times New Roman" w:hAnsi="Times New Roman" w:cs="Times New Roman"/>
          <w:sz w:val="24"/>
          <w:szCs w:val="24"/>
          <w:lang w:val="en-US"/>
        </w:rPr>
        <w:t xml:space="preserve">, thus, can </w:t>
      </w:r>
      <w:r w:rsidR="00F22FB4">
        <w:rPr>
          <w:rFonts w:ascii="Times New Roman" w:hAnsi="Times New Roman" w:cs="Times New Roman"/>
          <w:sz w:val="24"/>
          <w:szCs w:val="24"/>
          <w:lang w:val="en-US"/>
        </w:rPr>
        <w:t xml:space="preserve">have </w:t>
      </w:r>
      <w:r w:rsidR="00041954">
        <w:rPr>
          <w:rFonts w:ascii="Times New Roman" w:hAnsi="Times New Roman" w:cs="Times New Roman"/>
          <w:sz w:val="24"/>
          <w:szCs w:val="24"/>
          <w:lang w:val="en-US"/>
        </w:rPr>
        <w:t xml:space="preserve">a serious </w:t>
      </w:r>
      <w:r w:rsidR="00F22FB4">
        <w:rPr>
          <w:rFonts w:ascii="Times New Roman" w:hAnsi="Times New Roman" w:cs="Times New Roman"/>
          <w:sz w:val="24"/>
          <w:szCs w:val="24"/>
          <w:lang w:val="en-US"/>
        </w:rPr>
        <w:t xml:space="preserve">effect on </w:t>
      </w:r>
      <w:r w:rsidR="008E0B2B">
        <w:rPr>
          <w:rFonts w:ascii="Times New Roman" w:hAnsi="Times New Roman" w:cs="Times New Roman"/>
          <w:sz w:val="24"/>
          <w:szCs w:val="24"/>
          <w:lang w:val="en-US"/>
        </w:rPr>
        <w:t xml:space="preserve">the </w:t>
      </w:r>
      <w:r w:rsidR="00D669D6">
        <w:rPr>
          <w:rFonts w:ascii="Times New Roman" w:hAnsi="Times New Roman" w:cs="Times New Roman"/>
          <w:sz w:val="24"/>
          <w:szCs w:val="24"/>
          <w:lang w:val="en-US"/>
        </w:rPr>
        <w:t xml:space="preserve">buyer’s </w:t>
      </w:r>
      <w:r w:rsidR="008E0B2B">
        <w:rPr>
          <w:rFonts w:ascii="Times New Roman" w:hAnsi="Times New Roman" w:cs="Times New Roman"/>
          <w:sz w:val="24"/>
          <w:szCs w:val="24"/>
          <w:lang w:val="en-US"/>
        </w:rPr>
        <w:t xml:space="preserve">financial </w:t>
      </w:r>
      <w:r w:rsidR="00D669D6">
        <w:rPr>
          <w:rFonts w:ascii="Times New Roman" w:hAnsi="Times New Roman" w:cs="Times New Roman"/>
          <w:sz w:val="24"/>
          <w:szCs w:val="24"/>
          <w:lang w:val="en-US"/>
        </w:rPr>
        <w:t xml:space="preserve">and market </w:t>
      </w:r>
      <w:r w:rsidR="008E0B2B">
        <w:rPr>
          <w:rFonts w:ascii="Times New Roman" w:hAnsi="Times New Roman" w:cs="Times New Roman"/>
          <w:sz w:val="24"/>
          <w:szCs w:val="24"/>
          <w:lang w:val="en-US"/>
        </w:rPr>
        <w:t>performance</w:t>
      </w:r>
      <w:r w:rsidR="00041954">
        <w:rPr>
          <w:rFonts w:ascii="Times New Roman" w:hAnsi="Times New Roman" w:cs="Times New Roman"/>
          <w:sz w:val="24"/>
          <w:szCs w:val="24"/>
          <w:lang w:val="en-US"/>
        </w:rPr>
        <w:t>.</w:t>
      </w:r>
      <w:r w:rsidR="00D669D6">
        <w:rPr>
          <w:rFonts w:ascii="Times New Roman" w:hAnsi="Times New Roman" w:cs="Times New Roman"/>
          <w:sz w:val="24"/>
          <w:szCs w:val="24"/>
          <w:lang w:val="en-US"/>
        </w:rPr>
        <w:t xml:space="preserve"> </w:t>
      </w:r>
      <w:r w:rsidR="0049226C">
        <w:rPr>
          <w:rFonts w:ascii="Times New Roman" w:hAnsi="Times New Roman" w:cs="Times New Roman"/>
          <w:sz w:val="24"/>
          <w:szCs w:val="24"/>
          <w:lang w:val="en-US"/>
        </w:rPr>
        <w:t>In the next section</w:t>
      </w:r>
      <w:r w:rsidR="00987A38">
        <w:rPr>
          <w:rFonts w:ascii="Times New Roman" w:hAnsi="Times New Roman" w:cs="Times New Roman"/>
          <w:sz w:val="24"/>
          <w:szCs w:val="24"/>
          <w:lang w:val="en-US"/>
        </w:rPr>
        <w:t>s</w:t>
      </w:r>
      <w:r w:rsidR="0049226C">
        <w:rPr>
          <w:rFonts w:ascii="Times New Roman" w:hAnsi="Times New Roman" w:cs="Times New Roman"/>
          <w:sz w:val="24"/>
          <w:szCs w:val="24"/>
          <w:lang w:val="en-US"/>
        </w:rPr>
        <w:t>, we further explain the concept of buyer-supplier asymmetries and how they can affect firm’s results</w:t>
      </w:r>
      <w:r w:rsidR="005526EF">
        <w:rPr>
          <w:rFonts w:ascii="Times New Roman" w:hAnsi="Times New Roman" w:cs="Times New Roman"/>
          <w:sz w:val="24"/>
          <w:szCs w:val="24"/>
          <w:lang w:val="en-US"/>
        </w:rPr>
        <w:t>.</w:t>
      </w:r>
    </w:p>
    <w:p w14:paraId="0A1EB703" w14:textId="77777777" w:rsidR="00972584" w:rsidRDefault="00972584" w:rsidP="002C618C">
      <w:pPr>
        <w:spacing w:line="480" w:lineRule="auto"/>
        <w:jc w:val="both"/>
        <w:rPr>
          <w:rFonts w:ascii="Times New Roman" w:hAnsi="Times New Roman" w:cs="Times New Roman"/>
          <w:sz w:val="24"/>
          <w:szCs w:val="24"/>
          <w:lang w:val="en-US"/>
        </w:rPr>
      </w:pPr>
    </w:p>
    <w:p w14:paraId="10A8031E" w14:textId="2B0C3075" w:rsidR="00CD05D9" w:rsidRPr="00D1660C" w:rsidRDefault="00CD05D9" w:rsidP="00D15A7D">
      <w:pPr>
        <w:pStyle w:val="Ttulo1"/>
        <w:spacing w:line="480" w:lineRule="auto"/>
        <w:rPr>
          <w:b w:val="0"/>
          <w:i/>
        </w:rPr>
      </w:pPr>
      <w:r w:rsidRPr="00D1660C">
        <w:rPr>
          <w:b w:val="0"/>
          <w:i/>
        </w:rPr>
        <w:t>2.</w:t>
      </w:r>
      <w:r w:rsidR="000066AE" w:rsidRPr="00D1660C">
        <w:rPr>
          <w:b w:val="0"/>
          <w:i/>
        </w:rPr>
        <w:t>2</w:t>
      </w:r>
      <w:r w:rsidRPr="00D1660C">
        <w:rPr>
          <w:b w:val="0"/>
          <w:i/>
        </w:rPr>
        <w:t xml:space="preserve"> </w:t>
      </w:r>
      <w:r w:rsidR="00A51CDD" w:rsidRPr="00D1660C">
        <w:rPr>
          <w:b w:val="0"/>
          <w:i/>
        </w:rPr>
        <w:t>Buyer-supplier a</w:t>
      </w:r>
      <w:r w:rsidRPr="00D1660C">
        <w:rPr>
          <w:b w:val="0"/>
          <w:i/>
        </w:rPr>
        <w:t>symmetries</w:t>
      </w:r>
      <w:r w:rsidR="00972584">
        <w:rPr>
          <w:b w:val="0"/>
          <w:i/>
        </w:rPr>
        <w:t xml:space="preserve"> and sustainability</w:t>
      </w:r>
    </w:p>
    <w:p w14:paraId="5A68E837" w14:textId="74AD9C0C" w:rsidR="00CD05D9" w:rsidRDefault="00972584" w:rsidP="00D15A7D">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Studies on b</w:t>
      </w:r>
      <w:r w:rsidR="00CD05D9" w:rsidRPr="00873B4D">
        <w:rPr>
          <w:rFonts w:ascii="Times New Roman" w:hAnsi="Times New Roman" w:cs="Times New Roman"/>
          <w:sz w:val="24"/>
          <w:szCs w:val="24"/>
          <w:lang w:val="en-US"/>
        </w:rPr>
        <w:t>uyer-supplier relationship</w:t>
      </w:r>
      <w:r w:rsidR="00060F4D">
        <w:rPr>
          <w:rFonts w:ascii="Times New Roman" w:hAnsi="Times New Roman" w:cs="Times New Roman"/>
          <w:sz w:val="24"/>
          <w:szCs w:val="24"/>
          <w:lang w:val="en-US"/>
        </w:rPr>
        <w:t>s</w:t>
      </w:r>
      <w:r w:rsidR="00CD05D9" w:rsidRPr="00873B4D">
        <w:rPr>
          <w:rFonts w:ascii="Times New Roman" w:hAnsi="Times New Roman" w:cs="Times New Roman"/>
          <w:sz w:val="24"/>
          <w:szCs w:val="24"/>
          <w:lang w:val="en-US"/>
        </w:rPr>
        <w:t xml:space="preserve"> have analyzed the </w:t>
      </w:r>
      <w:r>
        <w:rPr>
          <w:rFonts w:ascii="Times New Roman" w:hAnsi="Times New Roman" w:cs="Times New Roman"/>
          <w:sz w:val="24"/>
          <w:szCs w:val="24"/>
          <w:lang w:val="en-US"/>
        </w:rPr>
        <w:t xml:space="preserve">effects of the </w:t>
      </w:r>
      <w:r w:rsidR="00CD05D9" w:rsidRPr="00873B4D">
        <w:rPr>
          <w:rFonts w:ascii="Times New Roman" w:hAnsi="Times New Roman" w:cs="Times New Roman"/>
          <w:sz w:val="24"/>
          <w:szCs w:val="24"/>
          <w:lang w:val="en-US"/>
        </w:rPr>
        <w:t xml:space="preserve">asymmetries </w:t>
      </w:r>
      <w:r w:rsidR="00060F4D">
        <w:rPr>
          <w:rFonts w:ascii="Times New Roman" w:hAnsi="Times New Roman" w:cs="Times New Roman"/>
          <w:sz w:val="24"/>
          <w:szCs w:val="24"/>
          <w:lang w:val="en-US"/>
        </w:rPr>
        <w:t>with respect</w:t>
      </w:r>
      <w:r>
        <w:rPr>
          <w:rFonts w:ascii="Times New Roman" w:hAnsi="Times New Roman" w:cs="Times New Roman"/>
          <w:sz w:val="24"/>
          <w:szCs w:val="24"/>
          <w:lang w:val="en-US"/>
        </w:rPr>
        <w:t xml:space="preserve"> to</w:t>
      </w:r>
      <w:r w:rsidR="00CD05D9" w:rsidRPr="00873B4D">
        <w:rPr>
          <w:rFonts w:ascii="Times New Roman" w:hAnsi="Times New Roman" w:cs="Times New Roman"/>
          <w:sz w:val="24"/>
          <w:szCs w:val="24"/>
          <w:lang w:val="en-US"/>
        </w:rPr>
        <w:t xml:space="preserve"> </w:t>
      </w:r>
      <w:r>
        <w:rPr>
          <w:rFonts w:ascii="Times New Roman" w:hAnsi="Times New Roman" w:cs="Times New Roman"/>
          <w:sz w:val="24"/>
          <w:szCs w:val="24"/>
          <w:lang w:val="en-US"/>
        </w:rPr>
        <w:t>a variety of supply chain factors</w:t>
      </w:r>
      <w:r w:rsidR="00060F4D">
        <w:rPr>
          <w:rFonts w:ascii="Times New Roman" w:hAnsi="Times New Roman" w:cs="Times New Roman"/>
          <w:sz w:val="24"/>
          <w:szCs w:val="24"/>
          <w:lang w:val="en-US"/>
        </w:rPr>
        <w:t xml:space="preserve">: size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Villena</w:t>
      </w:r>
      <w:proofErr w:type="spellEnd"/>
      <w:r w:rsidR="00F3370E" w:rsidRPr="007A6E4B">
        <w:rPr>
          <w:rFonts w:ascii="Times New Roman" w:hAnsi="Times New Roman" w:cs="Times New Roman"/>
          <w:sz w:val="24"/>
          <w:lang w:val="en-US"/>
        </w:rPr>
        <w:t xml:space="preserve"> and Craighead, 2017)</w:t>
      </w:r>
      <w:r w:rsidR="00C143D5">
        <w:rPr>
          <w:rFonts w:ascii="Times New Roman" w:hAnsi="Times New Roman" w:cs="Times New Roman"/>
          <w:sz w:val="24"/>
          <w:szCs w:val="24"/>
          <w:lang w:val="en-US"/>
        </w:rPr>
        <w:t>,</w:t>
      </w:r>
      <w:r w:rsidRPr="005526EF">
        <w:rPr>
          <w:rFonts w:ascii="Times New Roman" w:hAnsi="Times New Roman" w:cs="Times New Roman"/>
          <w:sz w:val="24"/>
          <w:szCs w:val="24"/>
          <w:highlight w:val="yellow"/>
          <w:lang w:val="en-US"/>
        </w:rPr>
        <w:t xml:space="preserve"> </w:t>
      </w:r>
      <w:r w:rsidRPr="00737AD9">
        <w:rPr>
          <w:rFonts w:ascii="Times New Roman" w:hAnsi="Times New Roman" w:cs="Times New Roman"/>
          <w:sz w:val="24"/>
          <w:szCs w:val="24"/>
          <w:lang w:val="en-US"/>
        </w:rPr>
        <w:t>dependence</w:t>
      </w:r>
      <w:r w:rsidR="00060F4D" w:rsidRPr="00737AD9">
        <w:rPr>
          <w:rFonts w:ascii="Times New Roman" w:hAnsi="Times New Roman" w:cs="Times New Roman"/>
          <w:sz w:val="24"/>
          <w:szCs w:val="24"/>
          <w:lang w:val="en-US"/>
        </w:rPr>
        <w:t xml:space="preserve"> </w:t>
      </w:r>
      <w:r w:rsidR="00F3370E" w:rsidRPr="007A6E4B">
        <w:rPr>
          <w:rFonts w:ascii="Times New Roman" w:hAnsi="Times New Roman" w:cs="Times New Roman"/>
          <w:sz w:val="24"/>
          <w:lang w:val="en-US"/>
        </w:rPr>
        <w:t>(Kim and Choi, 2018)</w:t>
      </w:r>
      <w:r w:rsidR="00CD05D9" w:rsidRPr="00737AD9">
        <w:rPr>
          <w:rFonts w:ascii="Times New Roman" w:hAnsi="Times New Roman" w:cs="Times New Roman"/>
          <w:sz w:val="24"/>
          <w:szCs w:val="24"/>
          <w:lang w:val="en-US"/>
        </w:rPr>
        <w:t xml:space="preserve">, </w:t>
      </w:r>
      <w:r w:rsidR="00945A00" w:rsidRPr="00737AD9">
        <w:rPr>
          <w:rFonts w:ascii="Times New Roman" w:hAnsi="Times New Roman" w:cs="Times New Roman"/>
          <w:sz w:val="24"/>
          <w:szCs w:val="24"/>
          <w:lang w:val="en-US"/>
        </w:rPr>
        <w:t>and</w:t>
      </w:r>
      <w:r w:rsidRPr="00737AD9">
        <w:rPr>
          <w:rFonts w:ascii="Times New Roman" w:hAnsi="Times New Roman" w:cs="Times New Roman"/>
          <w:sz w:val="24"/>
          <w:szCs w:val="24"/>
          <w:lang w:val="en-US"/>
        </w:rPr>
        <w:t xml:space="preserve"> </w:t>
      </w:r>
      <w:r w:rsidR="00060F4D" w:rsidRPr="00737AD9">
        <w:rPr>
          <w:rFonts w:ascii="Times New Roman" w:hAnsi="Times New Roman" w:cs="Times New Roman"/>
          <w:sz w:val="24"/>
          <w:szCs w:val="24"/>
          <w:lang w:val="en-US"/>
        </w:rPr>
        <w:t xml:space="preserve">power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Talay</w:t>
      </w:r>
      <w:proofErr w:type="spellEnd"/>
      <w:r w:rsidR="00F3370E" w:rsidRPr="007A6E4B">
        <w:rPr>
          <w:rFonts w:ascii="Times New Roman" w:hAnsi="Times New Roman" w:cs="Times New Roman"/>
          <w:sz w:val="24"/>
          <w:lang w:val="en-US"/>
        </w:rPr>
        <w:t xml:space="preserve"> et al., 2020)</w:t>
      </w:r>
      <w:r w:rsidR="00CD05D9" w:rsidRPr="00737AD9">
        <w:rPr>
          <w:rFonts w:ascii="Times New Roman" w:hAnsi="Times New Roman" w:cs="Times New Roman"/>
          <w:sz w:val="24"/>
          <w:szCs w:val="24"/>
          <w:lang w:val="en-US"/>
        </w:rPr>
        <w:t xml:space="preserve">. </w:t>
      </w:r>
      <w:r w:rsidRPr="00E41B4F">
        <w:rPr>
          <w:rFonts w:ascii="Times New Roman" w:hAnsi="Times New Roman" w:cs="Times New Roman"/>
          <w:sz w:val="24"/>
          <w:szCs w:val="24"/>
          <w:lang w:val="en-US"/>
        </w:rPr>
        <w:t>D</w:t>
      </w:r>
      <w:r>
        <w:rPr>
          <w:rFonts w:ascii="Times New Roman" w:hAnsi="Times New Roman" w:cs="Times New Roman"/>
          <w:sz w:val="24"/>
          <w:szCs w:val="24"/>
          <w:lang w:val="en-US"/>
        </w:rPr>
        <w:t>espite these efforts</w:t>
      </w:r>
      <w:r w:rsidR="00CD05D9">
        <w:rPr>
          <w:rFonts w:ascii="Times New Roman" w:hAnsi="Times New Roman" w:cs="Times New Roman"/>
          <w:sz w:val="24"/>
          <w:szCs w:val="24"/>
          <w:lang w:val="en-US"/>
        </w:rPr>
        <w:t>,</w:t>
      </w:r>
      <w:r w:rsidR="00CD05D9" w:rsidRPr="00873B4D">
        <w:rPr>
          <w:rFonts w:ascii="Times New Roman" w:hAnsi="Times New Roman" w:cs="Times New Roman"/>
          <w:sz w:val="24"/>
          <w:szCs w:val="24"/>
          <w:lang w:val="en-US"/>
        </w:rPr>
        <w:t xml:space="preserve"> there are several research gaps in buyer-supplier asymmetries</w:t>
      </w:r>
      <w:r w:rsidR="00CD05D9">
        <w:rPr>
          <w:rFonts w:ascii="Times New Roman" w:hAnsi="Times New Roman" w:cs="Times New Roman"/>
          <w:sz w:val="24"/>
          <w:szCs w:val="24"/>
          <w:lang w:val="en-US"/>
        </w:rPr>
        <w:t xml:space="preserve"> that need to be addressed. </w:t>
      </w:r>
      <w:r w:rsidR="00D0540F">
        <w:rPr>
          <w:rFonts w:ascii="Times New Roman" w:hAnsi="Times New Roman" w:cs="Times New Roman"/>
          <w:sz w:val="24"/>
          <w:szCs w:val="24"/>
          <w:lang w:val="en-US"/>
        </w:rPr>
        <w:t>First</w:t>
      </w:r>
      <w:r w:rsidR="00484DED">
        <w:rPr>
          <w:rFonts w:ascii="Times New Roman" w:hAnsi="Times New Roman" w:cs="Times New Roman"/>
          <w:sz w:val="24"/>
          <w:szCs w:val="24"/>
          <w:lang w:val="en-US"/>
        </w:rPr>
        <w:t>ly, a critical area that wa</w:t>
      </w:r>
      <w:r w:rsidR="00484DED">
        <w:rPr>
          <w:rFonts w:ascii="Times New Roman" w:hAnsi="Times New Roman" w:cs="Times New Roman"/>
          <w:sz w:val="24"/>
          <w:szCs w:val="24"/>
          <w:lang w:val="en-US"/>
        </w:rPr>
        <w:t xml:space="preserve">s not studied in the </w:t>
      </w:r>
      <w:r w:rsidR="00484DED">
        <w:rPr>
          <w:rFonts w:ascii="Times New Roman" w:hAnsi="Times New Roman" w:cs="Times New Roman"/>
          <w:sz w:val="24"/>
          <w:szCs w:val="24"/>
          <w:lang w:val="en-US"/>
        </w:rPr>
        <w:t>buyer-supplier a</w:t>
      </w:r>
      <w:r w:rsidR="00484DED">
        <w:rPr>
          <w:rFonts w:ascii="Times New Roman" w:hAnsi="Times New Roman" w:cs="Times New Roman"/>
          <w:sz w:val="24"/>
          <w:szCs w:val="24"/>
          <w:lang w:val="en-US"/>
        </w:rPr>
        <w:t xml:space="preserve">symmetries literature is sustainability. </w:t>
      </w:r>
      <w:r w:rsidR="00746E1D" w:rsidRPr="00746E1D">
        <w:rPr>
          <w:rFonts w:ascii="Times New Roman" w:hAnsi="Times New Roman" w:cs="Times New Roman"/>
          <w:sz w:val="24"/>
          <w:szCs w:val="24"/>
          <w:lang w:val="en-US"/>
        </w:rPr>
        <w:t>I</w:t>
      </w:r>
      <w:r w:rsidR="00484DED">
        <w:rPr>
          <w:rFonts w:ascii="Times New Roman" w:hAnsi="Times New Roman" w:cs="Times New Roman"/>
          <w:sz w:val="24"/>
          <w:szCs w:val="24"/>
          <w:lang w:val="en-US"/>
        </w:rPr>
        <w:t xml:space="preserve">t </w:t>
      </w:r>
      <w:r w:rsidR="00484DED">
        <w:rPr>
          <w:rFonts w:ascii="Times New Roman" w:hAnsi="Times New Roman" w:cs="Times New Roman"/>
          <w:sz w:val="24"/>
          <w:szCs w:val="24"/>
          <w:lang w:val="en-US"/>
        </w:rPr>
        <w:t xml:space="preserve">has become a key area in </w:t>
      </w:r>
      <w:r w:rsidR="00484DED">
        <w:rPr>
          <w:rFonts w:ascii="Times New Roman" w:hAnsi="Times New Roman" w:cs="Times New Roman"/>
          <w:sz w:val="24"/>
          <w:szCs w:val="24"/>
          <w:lang w:val="en-US"/>
        </w:rPr>
        <w:t>management research</w:t>
      </w:r>
      <w:r w:rsidR="00484DED">
        <w:rPr>
          <w:rFonts w:ascii="Times New Roman" w:hAnsi="Times New Roman" w:cs="Times New Roman"/>
          <w:sz w:val="24"/>
          <w:szCs w:val="24"/>
          <w:lang w:val="en-US"/>
        </w:rPr>
        <w:t xml:space="preserve">, </w:t>
      </w:r>
      <w:r w:rsidR="00484DED">
        <w:rPr>
          <w:rFonts w:ascii="Times New Roman" w:hAnsi="Times New Roman" w:cs="Times New Roman"/>
          <w:sz w:val="24"/>
          <w:szCs w:val="24"/>
          <w:lang w:val="en-US"/>
        </w:rPr>
        <w:t>particularly</w:t>
      </w:r>
      <w:r w:rsidR="00484DED">
        <w:rPr>
          <w:rFonts w:ascii="Times New Roman" w:hAnsi="Times New Roman" w:cs="Times New Roman"/>
          <w:sz w:val="24"/>
          <w:szCs w:val="24"/>
          <w:lang w:val="en-US"/>
        </w:rPr>
        <w:t xml:space="preserve"> supply chain </w:t>
      </w:r>
      <w:r w:rsidR="00484DED">
        <w:rPr>
          <w:rFonts w:ascii="Times New Roman" w:hAnsi="Times New Roman" w:cs="Times New Roman"/>
          <w:sz w:val="24"/>
          <w:szCs w:val="24"/>
          <w:lang w:val="en-US"/>
        </w:rPr>
        <w:t xml:space="preserve">management </w:t>
      </w:r>
      <w:r w:rsidR="00484DED">
        <w:rPr>
          <w:rFonts w:ascii="Times New Roman" w:hAnsi="Times New Roman" w:cs="Times New Roman"/>
          <w:sz w:val="24"/>
          <w:szCs w:val="24"/>
          <w:lang w:val="en-US"/>
        </w:rPr>
        <w:t>(</w:t>
      </w:r>
      <w:r w:rsidR="00607068">
        <w:rPr>
          <w:rFonts w:ascii="Times New Roman" w:hAnsi="Times New Roman" w:cs="Times New Roman"/>
          <w:sz w:val="24"/>
          <w:szCs w:val="24"/>
          <w:lang w:val="en-US"/>
        </w:rPr>
        <w:t>Awan et al., 2020</w:t>
      </w:r>
      <w:r w:rsidR="00484DED">
        <w:rPr>
          <w:rFonts w:ascii="Times New Roman" w:hAnsi="Times New Roman" w:cs="Times New Roman"/>
          <w:sz w:val="24"/>
          <w:szCs w:val="24"/>
          <w:lang w:val="en-US"/>
        </w:rPr>
        <w:t>)</w:t>
      </w:r>
      <w:r w:rsidR="00484DED">
        <w:rPr>
          <w:rFonts w:ascii="Times New Roman" w:hAnsi="Times New Roman" w:cs="Times New Roman"/>
          <w:sz w:val="24"/>
          <w:szCs w:val="24"/>
          <w:lang w:val="en-US"/>
        </w:rPr>
        <w:t xml:space="preserve">. </w:t>
      </w:r>
      <w:r w:rsidR="00484DED">
        <w:rPr>
          <w:rFonts w:ascii="Times New Roman" w:hAnsi="Times New Roman" w:cs="Times New Roman"/>
          <w:sz w:val="24"/>
          <w:szCs w:val="24"/>
          <w:lang w:val="en-US"/>
        </w:rPr>
        <w:t xml:space="preserve">Therefore, the asymmetries literature </w:t>
      </w:r>
      <w:r w:rsidR="00FD5AC1">
        <w:rPr>
          <w:rFonts w:ascii="Times New Roman" w:hAnsi="Times New Roman" w:cs="Times New Roman"/>
          <w:sz w:val="24"/>
          <w:szCs w:val="24"/>
          <w:lang w:val="en-US"/>
        </w:rPr>
        <w:t>could benefit from</w:t>
      </w:r>
      <w:r w:rsidR="00484DED">
        <w:rPr>
          <w:rFonts w:ascii="Times New Roman" w:hAnsi="Times New Roman" w:cs="Times New Roman"/>
          <w:sz w:val="24"/>
          <w:szCs w:val="24"/>
          <w:lang w:val="en-US"/>
        </w:rPr>
        <w:t xml:space="preserve"> studies focused on this area. </w:t>
      </w:r>
      <w:r w:rsidR="00120DD4">
        <w:rPr>
          <w:rFonts w:ascii="Times New Roman" w:hAnsi="Times New Roman" w:cs="Times New Roman"/>
          <w:sz w:val="24"/>
          <w:szCs w:val="24"/>
          <w:lang w:val="en-US"/>
        </w:rPr>
        <w:t>For example, Awan et al. (2020) has analyzed</w:t>
      </w:r>
      <w:r w:rsidR="00120DD4" w:rsidRPr="00120DD4">
        <w:rPr>
          <w:rFonts w:ascii="Times New Roman" w:hAnsi="Times New Roman" w:cs="Times New Roman"/>
          <w:sz w:val="24"/>
          <w:szCs w:val="24"/>
          <w:lang w:val="en-US"/>
        </w:rPr>
        <w:t xml:space="preserve"> how buyer-supplier knowledge transfer could reduce the gap in sustainabilit</w:t>
      </w:r>
      <w:r w:rsidR="00120DD4">
        <w:rPr>
          <w:rFonts w:ascii="Times New Roman" w:hAnsi="Times New Roman" w:cs="Times New Roman"/>
          <w:sz w:val="24"/>
          <w:szCs w:val="24"/>
          <w:lang w:val="en-US"/>
        </w:rPr>
        <w:t>y implementation at suppliers</w:t>
      </w:r>
      <w:r w:rsidR="00120DD4" w:rsidRPr="00120DD4">
        <w:rPr>
          <w:rFonts w:ascii="Times New Roman" w:hAnsi="Times New Roman" w:cs="Times New Roman"/>
          <w:sz w:val="24"/>
          <w:szCs w:val="24"/>
          <w:lang w:val="en-US"/>
        </w:rPr>
        <w:t xml:space="preserve">. </w:t>
      </w:r>
      <w:r w:rsidR="00484DED">
        <w:rPr>
          <w:rFonts w:ascii="Times New Roman" w:hAnsi="Times New Roman" w:cs="Times New Roman"/>
          <w:sz w:val="24"/>
          <w:szCs w:val="24"/>
          <w:lang w:val="en-US"/>
        </w:rPr>
        <w:t xml:space="preserve">Secondly, with respect to research methodologies, </w:t>
      </w:r>
      <w:r w:rsidR="00D15A7D" w:rsidRPr="00873B4D">
        <w:rPr>
          <w:rFonts w:ascii="Times New Roman" w:hAnsi="Times New Roman" w:cs="Times New Roman"/>
          <w:sz w:val="24"/>
          <w:szCs w:val="24"/>
          <w:lang w:val="en-US"/>
        </w:rPr>
        <w:t>previous</w:t>
      </w:r>
      <w:r w:rsidR="00CD05D9" w:rsidRPr="00873B4D">
        <w:rPr>
          <w:rFonts w:ascii="Times New Roman" w:hAnsi="Times New Roman" w:cs="Times New Roman"/>
          <w:sz w:val="24"/>
          <w:szCs w:val="24"/>
          <w:lang w:val="en-US"/>
        </w:rPr>
        <w:t xml:space="preserve"> research examined the degree of asymmetry without capturing the direction of </w:t>
      </w:r>
      <w:r w:rsidR="00CD05D9">
        <w:rPr>
          <w:rFonts w:ascii="Times New Roman" w:hAnsi="Times New Roman" w:cs="Times New Roman"/>
          <w:sz w:val="24"/>
          <w:szCs w:val="24"/>
          <w:lang w:val="en-US"/>
        </w:rPr>
        <w:t xml:space="preserve">that </w:t>
      </w:r>
      <w:r w:rsidR="00CD05D9" w:rsidRPr="00873B4D">
        <w:rPr>
          <w:rFonts w:ascii="Times New Roman" w:hAnsi="Times New Roman" w:cs="Times New Roman"/>
          <w:sz w:val="24"/>
          <w:szCs w:val="24"/>
          <w:lang w:val="en-US"/>
        </w:rPr>
        <w:t>asymmetry</w:t>
      </w:r>
      <w:r w:rsidR="00484DED">
        <w:rPr>
          <w:rFonts w:ascii="Times New Roman" w:hAnsi="Times New Roman" w:cs="Times New Roman"/>
          <w:sz w:val="24"/>
          <w:szCs w:val="24"/>
          <w:lang w:val="en-US"/>
        </w:rPr>
        <w:t xml:space="preserve"> (</w:t>
      </w:r>
      <w:proofErr w:type="spellStart"/>
      <w:r w:rsidR="00484DED">
        <w:rPr>
          <w:rFonts w:ascii="Times New Roman" w:hAnsi="Times New Roman" w:cs="Times New Roman"/>
          <w:sz w:val="24"/>
          <w:szCs w:val="24"/>
          <w:lang w:val="en-US"/>
        </w:rPr>
        <w:t>Villena</w:t>
      </w:r>
      <w:proofErr w:type="spellEnd"/>
      <w:r w:rsidR="00484DED">
        <w:rPr>
          <w:rFonts w:ascii="Times New Roman" w:hAnsi="Times New Roman" w:cs="Times New Roman"/>
          <w:sz w:val="24"/>
          <w:szCs w:val="24"/>
          <w:lang w:val="en-US"/>
        </w:rPr>
        <w:t xml:space="preserve"> and Craighead, 2017</w:t>
      </w:r>
      <w:r w:rsidR="00484DED">
        <w:rPr>
          <w:rFonts w:ascii="Times New Roman" w:hAnsi="Times New Roman" w:cs="Times New Roman"/>
          <w:sz w:val="24"/>
          <w:szCs w:val="24"/>
          <w:lang w:val="en-US"/>
        </w:rPr>
        <w:t>)</w:t>
      </w:r>
      <w:r w:rsidR="00CD05D9" w:rsidRPr="00873B4D">
        <w:rPr>
          <w:rFonts w:ascii="Times New Roman" w:hAnsi="Times New Roman" w:cs="Times New Roman"/>
          <w:sz w:val="24"/>
          <w:szCs w:val="24"/>
          <w:lang w:val="en-US"/>
        </w:rPr>
        <w:t xml:space="preserve">. In other words, similar degrees of asymmetry may lead to different outcomes, depending on the party that has a higher </w:t>
      </w:r>
      <w:r w:rsidR="00BB2470">
        <w:rPr>
          <w:rFonts w:ascii="Times New Roman" w:hAnsi="Times New Roman" w:cs="Times New Roman"/>
          <w:sz w:val="24"/>
          <w:szCs w:val="24"/>
          <w:lang w:val="en-US"/>
        </w:rPr>
        <w:t>level</w:t>
      </w:r>
      <w:r w:rsidR="00CD05D9" w:rsidRPr="00873B4D">
        <w:rPr>
          <w:rFonts w:ascii="Times New Roman" w:hAnsi="Times New Roman" w:cs="Times New Roman"/>
          <w:sz w:val="24"/>
          <w:szCs w:val="24"/>
          <w:lang w:val="en-US"/>
        </w:rPr>
        <w:t xml:space="preserve"> </w:t>
      </w:r>
      <w:r w:rsidR="00FC1CE0" w:rsidRPr="00873B4D">
        <w:rPr>
          <w:rFonts w:ascii="Times New Roman" w:hAnsi="Times New Roman" w:cs="Times New Roman"/>
          <w:sz w:val="24"/>
          <w:szCs w:val="24"/>
          <w:lang w:val="en-US"/>
        </w:rPr>
        <w:t>o</w:t>
      </w:r>
      <w:r w:rsidR="00FC1CE0">
        <w:rPr>
          <w:rFonts w:ascii="Times New Roman" w:hAnsi="Times New Roman" w:cs="Times New Roman"/>
          <w:sz w:val="24"/>
          <w:szCs w:val="24"/>
          <w:lang w:val="en-US"/>
        </w:rPr>
        <w:t>f</w:t>
      </w:r>
      <w:r w:rsidR="00FC1CE0" w:rsidRPr="00873B4D">
        <w:rPr>
          <w:rFonts w:ascii="Times New Roman" w:hAnsi="Times New Roman" w:cs="Times New Roman"/>
          <w:sz w:val="24"/>
          <w:szCs w:val="24"/>
          <w:lang w:val="en-US"/>
        </w:rPr>
        <w:t xml:space="preserve"> </w:t>
      </w:r>
      <w:r w:rsidR="00CD05D9" w:rsidRPr="00873B4D">
        <w:rPr>
          <w:rFonts w:ascii="Times New Roman" w:hAnsi="Times New Roman" w:cs="Times New Roman"/>
          <w:sz w:val="24"/>
          <w:szCs w:val="24"/>
          <w:lang w:val="en-US"/>
        </w:rPr>
        <w:t xml:space="preserve">the variable considered. </w:t>
      </w:r>
      <w:r w:rsidR="00A51CDD">
        <w:rPr>
          <w:rFonts w:ascii="Times New Roman" w:hAnsi="Times New Roman" w:cs="Times New Roman"/>
          <w:sz w:val="24"/>
          <w:szCs w:val="24"/>
          <w:lang w:val="en-US"/>
        </w:rPr>
        <w:t xml:space="preserve">In the case of sustainability, </w:t>
      </w:r>
      <w:r w:rsidR="0090452F">
        <w:rPr>
          <w:rFonts w:ascii="Times New Roman" w:hAnsi="Times New Roman" w:cs="Times New Roman"/>
          <w:sz w:val="24"/>
          <w:szCs w:val="24"/>
          <w:lang w:val="en-US"/>
        </w:rPr>
        <w:t xml:space="preserve">defining the </w:t>
      </w:r>
      <w:r>
        <w:rPr>
          <w:rFonts w:ascii="Times New Roman" w:hAnsi="Times New Roman" w:cs="Times New Roman"/>
          <w:sz w:val="24"/>
          <w:szCs w:val="24"/>
          <w:lang w:val="en-US"/>
        </w:rPr>
        <w:t>supply chain member</w:t>
      </w:r>
      <w:r w:rsidR="0090452F">
        <w:rPr>
          <w:rFonts w:ascii="Times New Roman" w:hAnsi="Times New Roman" w:cs="Times New Roman"/>
          <w:sz w:val="24"/>
          <w:szCs w:val="24"/>
          <w:lang w:val="en-US"/>
        </w:rPr>
        <w:t xml:space="preserve"> </w:t>
      </w:r>
      <w:r w:rsidR="003077C0">
        <w:rPr>
          <w:rFonts w:ascii="Times New Roman" w:hAnsi="Times New Roman" w:cs="Times New Roman"/>
          <w:sz w:val="24"/>
          <w:szCs w:val="24"/>
          <w:lang w:val="en-US"/>
        </w:rPr>
        <w:t xml:space="preserve">that </w:t>
      </w:r>
      <w:r w:rsidR="0090452F">
        <w:rPr>
          <w:rFonts w:ascii="Times New Roman" w:hAnsi="Times New Roman" w:cs="Times New Roman"/>
          <w:sz w:val="24"/>
          <w:szCs w:val="24"/>
          <w:lang w:val="en-US"/>
        </w:rPr>
        <w:t xml:space="preserve">leads the </w:t>
      </w:r>
      <w:r>
        <w:rPr>
          <w:rFonts w:ascii="Times New Roman" w:hAnsi="Times New Roman" w:cs="Times New Roman"/>
          <w:sz w:val="24"/>
          <w:szCs w:val="24"/>
          <w:lang w:val="en-US"/>
        </w:rPr>
        <w:t>developments</w:t>
      </w:r>
      <w:r w:rsidR="00D94AA5">
        <w:rPr>
          <w:rFonts w:ascii="Times New Roman" w:hAnsi="Times New Roman" w:cs="Times New Roman"/>
          <w:sz w:val="24"/>
          <w:szCs w:val="24"/>
          <w:lang w:val="en-US"/>
        </w:rPr>
        <w:t xml:space="preserve"> is</w:t>
      </w:r>
      <w:r w:rsidR="00A51CDD">
        <w:rPr>
          <w:rFonts w:ascii="Times New Roman" w:hAnsi="Times New Roman" w:cs="Times New Roman"/>
          <w:sz w:val="24"/>
          <w:szCs w:val="24"/>
          <w:lang w:val="en-US"/>
        </w:rPr>
        <w:t xml:space="preserve"> important</w:t>
      </w:r>
      <w:r>
        <w:rPr>
          <w:rFonts w:ascii="Times New Roman" w:hAnsi="Times New Roman" w:cs="Times New Roman"/>
          <w:sz w:val="24"/>
          <w:szCs w:val="24"/>
          <w:lang w:val="en-US"/>
        </w:rPr>
        <w:t xml:space="preserve">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Huo</w:t>
      </w:r>
      <w:proofErr w:type="spellEnd"/>
      <w:r w:rsidR="00F3370E" w:rsidRPr="007A6E4B">
        <w:rPr>
          <w:rFonts w:ascii="Times New Roman" w:hAnsi="Times New Roman" w:cs="Times New Roman"/>
          <w:sz w:val="24"/>
          <w:lang w:val="en-US"/>
        </w:rPr>
        <w:t xml:space="preserve"> et al., 2019)</w:t>
      </w:r>
      <w:r w:rsidR="00D15A7D">
        <w:rPr>
          <w:rFonts w:ascii="Times New Roman" w:hAnsi="Times New Roman" w:cs="Times New Roman"/>
          <w:sz w:val="24"/>
          <w:szCs w:val="24"/>
          <w:lang w:val="en-US"/>
        </w:rPr>
        <w:t>,</w:t>
      </w:r>
      <w:r w:rsidR="0090452F">
        <w:rPr>
          <w:rFonts w:ascii="Times New Roman" w:hAnsi="Times New Roman" w:cs="Times New Roman"/>
          <w:sz w:val="24"/>
          <w:szCs w:val="24"/>
          <w:lang w:val="en-US"/>
        </w:rPr>
        <w:t xml:space="preserve"> especially if </w:t>
      </w:r>
      <w:r>
        <w:rPr>
          <w:rFonts w:ascii="Times New Roman" w:hAnsi="Times New Roman" w:cs="Times New Roman"/>
          <w:sz w:val="24"/>
          <w:szCs w:val="24"/>
          <w:lang w:val="en-US"/>
        </w:rPr>
        <w:t>it</w:t>
      </w:r>
      <w:r w:rsidR="00A51CDD" w:rsidRPr="0090452F">
        <w:rPr>
          <w:rFonts w:ascii="Times New Roman" w:hAnsi="Times New Roman" w:cs="Times New Roman"/>
          <w:sz w:val="24"/>
          <w:szCs w:val="24"/>
          <w:lang w:val="en-US"/>
        </w:rPr>
        <w:t xml:space="preserve"> </w:t>
      </w:r>
      <w:r w:rsidR="00ED5424" w:rsidRPr="0090452F">
        <w:rPr>
          <w:rFonts w:ascii="Times New Roman" w:hAnsi="Times New Roman" w:cs="Times New Roman"/>
          <w:sz w:val="24"/>
          <w:szCs w:val="24"/>
          <w:lang w:val="en-US"/>
        </w:rPr>
        <w:t>belong</w:t>
      </w:r>
      <w:r w:rsidR="0090452F">
        <w:rPr>
          <w:rFonts w:ascii="Times New Roman" w:hAnsi="Times New Roman" w:cs="Times New Roman"/>
          <w:sz w:val="24"/>
          <w:szCs w:val="24"/>
          <w:lang w:val="en-US"/>
        </w:rPr>
        <w:t>s</w:t>
      </w:r>
      <w:r w:rsidR="00ED5424" w:rsidRPr="0090452F">
        <w:rPr>
          <w:rFonts w:ascii="Times New Roman" w:hAnsi="Times New Roman" w:cs="Times New Roman"/>
          <w:sz w:val="24"/>
          <w:szCs w:val="24"/>
          <w:lang w:val="en-US"/>
        </w:rPr>
        <w:t xml:space="preserve"> to a</w:t>
      </w:r>
      <w:r w:rsidR="00A51CDD" w:rsidRPr="0090452F">
        <w:rPr>
          <w:rFonts w:ascii="Times New Roman" w:hAnsi="Times New Roman" w:cs="Times New Roman"/>
          <w:sz w:val="24"/>
          <w:szCs w:val="24"/>
          <w:lang w:val="en-US"/>
        </w:rPr>
        <w:t xml:space="preserve"> sensitive </w:t>
      </w:r>
      <w:r>
        <w:rPr>
          <w:rFonts w:ascii="Times New Roman" w:hAnsi="Times New Roman" w:cs="Times New Roman"/>
          <w:sz w:val="24"/>
          <w:szCs w:val="24"/>
          <w:lang w:val="en-US"/>
        </w:rPr>
        <w:t>industry</w:t>
      </w:r>
      <w:r w:rsidR="00A51CDD" w:rsidRPr="0090452F">
        <w:rPr>
          <w:rFonts w:ascii="Times New Roman" w:hAnsi="Times New Roman" w:cs="Times New Roman"/>
          <w:sz w:val="24"/>
          <w:szCs w:val="24"/>
          <w:lang w:val="en-US"/>
        </w:rPr>
        <w:t>.</w:t>
      </w:r>
      <w:r w:rsidR="00A51CDD">
        <w:rPr>
          <w:rFonts w:ascii="Times New Roman" w:hAnsi="Times New Roman" w:cs="Times New Roman"/>
          <w:sz w:val="24"/>
          <w:szCs w:val="24"/>
          <w:lang w:val="en-US"/>
        </w:rPr>
        <w:t xml:space="preserve"> </w:t>
      </w:r>
      <w:r w:rsidR="0090452F">
        <w:rPr>
          <w:rFonts w:ascii="Times New Roman" w:hAnsi="Times New Roman" w:cs="Times New Roman"/>
          <w:sz w:val="24"/>
          <w:szCs w:val="24"/>
          <w:lang w:val="en-US"/>
        </w:rPr>
        <w:t xml:space="preserve">For example, </w:t>
      </w:r>
      <w:r w:rsidR="00136555">
        <w:rPr>
          <w:rFonts w:ascii="Times New Roman" w:hAnsi="Times New Roman" w:cs="Times New Roman"/>
          <w:sz w:val="24"/>
          <w:szCs w:val="24"/>
          <w:lang w:val="en-US"/>
        </w:rPr>
        <w:t>customers</w:t>
      </w:r>
      <w:r w:rsidR="0090452F">
        <w:rPr>
          <w:rFonts w:ascii="Times New Roman" w:hAnsi="Times New Roman" w:cs="Times New Roman"/>
          <w:sz w:val="24"/>
          <w:szCs w:val="24"/>
          <w:lang w:val="en-US"/>
        </w:rPr>
        <w:t xml:space="preserve"> may have a different perception </w:t>
      </w:r>
      <w:r w:rsidR="00136555">
        <w:rPr>
          <w:rFonts w:ascii="Times New Roman" w:hAnsi="Times New Roman" w:cs="Times New Roman"/>
          <w:sz w:val="24"/>
          <w:szCs w:val="24"/>
          <w:lang w:val="en-US"/>
        </w:rPr>
        <w:t xml:space="preserve">of a recycling </w:t>
      </w:r>
      <w:r w:rsidR="00060F4D">
        <w:rPr>
          <w:rFonts w:ascii="Times New Roman" w:hAnsi="Times New Roman" w:cs="Times New Roman"/>
          <w:sz w:val="24"/>
          <w:szCs w:val="24"/>
          <w:lang w:val="en-US"/>
        </w:rPr>
        <w:t>initiative</w:t>
      </w:r>
      <w:r w:rsidR="0090452F">
        <w:rPr>
          <w:rFonts w:ascii="Times New Roman" w:hAnsi="Times New Roman" w:cs="Times New Roman"/>
          <w:sz w:val="24"/>
          <w:szCs w:val="24"/>
          <w:lang w:val="en-US"/>
        </w:rPr>
        <w:t xml:space="preserve">, depending on whether it is led by the retailer or a supplier. </w:t>
      </w:r>
      <w:r w:rsidR="00EE1CF7">
        <w:rPr>
          <w:rFonts w:ascii="Times New Roman" w:hAnsi="Times New Roman" w:cs="Times New Roman"/>
          <w:sz w:val="24"/>
          <w:szCs w:val="24"/>
          <w:lang w:val="en-US"/>
        </w:rPr>
        <w:t xml:space="preserve">Second, </w:t>
      </w:r>
      <w:r w:rsidR="00060F4D">
        <w:rPr>
          <w:rFonts w:ascii="Times New Roman" w:hAnsi="Times New Roman" w:cs="Times New Roman"/>
          <w:sz w:val="24"/>
          <w:szCs w:val="24"/>
          <w:lang w:val="en-US"/>
        </w:rPr>
        <w:t xml:space="preserve">it is still unclear </w:t>
      </w:r>
      <w:r w:rsidR="00CD05D9">
        <w:rPr>
          <w:rFonts w:ascii="Times New Roman" w:hAnsi="Times New Roman" w:cs="Times New Roman"/>
          <w:sz w:val="24"/>
          <w:szCs w:val="24"/>
          <w:lang w:val="en-US"/>
        </w:rPr>
        <w:t>how</w:t>
      </w:r>
      <w:r w:rsidR="00CD05D9" w:rsidRPr="00873B4D">
        <w:rPr>
          <w:rFonts w:ascii="Times New Roman" w:hAnsi="Times New Roman" w:cs="Times New Roman"/>
          <w:sz w:val="24"/>
          <w:szCs w:val="24"/>
          <w:lang w:val="en-US"/>
        </w:rPr>
        <w:t xml:space="preserve"> asymmetries affect performance</w:t>
      </w:r>
      <w:r w:rsidR="00EE1CF7">
        <w:rPr>
          <w:rFonts w:ascii="Times New Roman" w:hAnsi="Times New Roman" w:cs="Times New Roman"/>
          <w:sz w:val="24"/>
          <w:szCs w:val="24"/>
          <w:lang w:val="en-US"/>
        </w:rPr>
        <w:t xml:space="preserve"> in the supply chain</w:t>
      </w:r>
      <w:r w:rsidR="00CD05D9" w:rsidRPr="00873B4D">
        <w:rPr>
          <w:rFonts w:ascii="Times New Roman" w:hAnsi="Times New Roman" w:cs="Times New Roman"/>
          <w:sz w:val="24"/>
          <w:szCs w:val="24"/>
          <w:lang w:val="en-US"/>
        </w:rPr>
        <w:t xml:space="preserve">. Although some studies claim a negative impact of buyer-supplier asymmetries on performance, other authors suggest the opposite. For example, when firms with complementary profiles collaborate, the total </w:t>
      </w:r>
      <w:r w:rsidR="00CD05D9" w:rsidRPr="00873B4D">
        <w:rPr>
          <w:rFonts w:ascii="Times New Roman" w:hAnsi="Times New Roman" w:cs="Times New Roman"/>
          <w:sz w:val="24"/>
          <w:szCs w:val="24"/>
          <w:lang w:val="en-US"/>
        </w:rPr>
        <w:lastRenderedPageBreak/>
        <w:t xml:space="preserve">value created in a buyer-supplier relationship is higher than the sum of the value created by the internal resources of each firm </w:t>
      </w:r>
      <w:r w:rsidR="00F3370E" w:rsidRPr="007A6E4B">
        <w:rPr>
          <w:rFonts w:ascii="Times New Roman" w:hAnsi="Times New Roman" w:cs="Times New Roman"/>
          <w:sz w:val="24"/>
          <w:lang w:val="en-US"/>
        </w:rPr>
        <w:t>(</w:t>
      </w:r>
      <w:r w:rsidR="00C26CA6">
        <w:rPr>
          <w:rFonts w:ascii="Times New Roman" w:hAnsi="Times New Roman" w:cs="Times New Roman"/>
          <w:sz w:val="24"/>
          <w:lang w:val="en-US"/>
        </w:rPr>
        <w:t xml:space="preserve">Ahmed and </w:t>
      </w:r>
      <w:proofErr w:type="spellStart"/>
      <w:r w:rsidR="00C26CA6">
        <w:rPr>
          <w:rFonts w:ascii="Times New Roman" w:hAnsi="Times New Roman" w:cs="Times New Roman"/>
          <w:sz w:val="24"/>
          <w:lang w:val="en-US"/>
        </w:rPr>
        <w:t>Shafiki</w:t>
      </w:r>
      <w:proofErr w:type="spellEnd"/>
      <w:r w:rsidR="00C26CA6">
        <w:rPr>
          <w:rFonts w:ascii="Times New Roman" w:hAnsi="Times New Roman" w:cs="Times New Roman"/>
          <w:sz w:val="24"/>
          <w:lang w:val="en-US"/>
        </w:rPr>
        <w:t>, 2022</w:t>
      </w:r>
      <w:r w:rsidR="00F3370E" w:rsidRPr="007A6E4B">
        <w:rPr>
          <w:rFonts w:ascii="Times New Roman" w:hAnsi="Times New Roman" w:cs="Times New Roman"/>
          <w:sz w:val="24"/>
          <w:lang w:val="en-US"/>
        </w:rPr>
        <w:t>)</w:t>
      </w:r>
      <w:r w:rsidR="00CD05D9" w:rsidRPr="00873B4D">
        <w:rPr>
          <w:rFonts w:ascii="Times New Roman" w:hAnsi="Times New Roman" w:cs="Times New Roman"/>
          <w:sz w:val="24"/>
          <w:szCs w:val="24"/>
          <w:lang w:val="en-US"/>
        </w:rPr>
        <w:t>. On the other hand, in cases of resource</w:t>
      </w:r>
      <w:r w:rsidR="00CD05D9">
        <w:rPr>
          <w:rFonts w:ascii="Times New Roman" w:hAnsi="Times New Roman" w:cs="Times New Roman"/>
          <w:sz w:val="24"/>
          <w:szCs w:val="24"/>
          <w:lang w:val="en-US"/>
        </w:rPr>
        <w:t xml:space="preserve"> </w:t>
      </w:r>
      <w:r w:rsidR="00CD05D9" w:rsidRPr="00873B4D">
        <w:rPr>
          <w:rFonts w:ascii="Times New Roman" w:hAnsi="Times New Roman" w:cs="Times New Roman"/>
          <w:sz w:val="24"/>
          <w:szCs w:val="24"/>
          <w:lang w:val="en-US"/>
        </w:rPr>
        <w:t>redundancy</w:t>
      </w:r>
      <w:r w:rsidR="00060F4D">
        <w:rPr>
          <w:rFonts w:ascii="Times New Roman" w:hAnsi="Times New Roman" w:cs="Times New Roman"/>
          <w:sz w:val="24"/>
          <w:szCs w:val="24"/>
          <w:lang w:val="en-US"/>
        </w:rPr>
        <w:t xml:space="preserve"> (e.g. firms share similar characteristics)</w:t>
      </w:r>
      <w:r w:rsidR="00CD05D9" w:rsidRPr="00873B4D">
        <w:rPr>
          <w:rFonts w:ascii="Times New Roman" w:hAnsi="Times New Roman" w:cs="Times New Roman"/>
          <w:sz w:val="24"/>
          <w:szCs w:val="24"/>
          <w:lang w:val="en-US"/>
        </w:rPr>
        <w:t xml:space="preserve">, the value created in the relationship </w:t>
      </w:r>
      <w:r w:rsidR="00987A38">
        <w:rPr>
          <w:rFonts w:ascii="Times New Roman" w:hAnsi="Times New Roman" w:cs="Times New Roman"/>
          <w:sz w:val="24"/>
          <w:szCs w:val="24"/>
          <w:lang w:val="en-US"/>
        </w:rPr>
        <w:t>may</w:t>
      </w:r>
      <w:r w:rsidR="00987A38" w:rsidRPr="00873B4D">
        <w:rPr>
          <w:rFonts w:ascii="Times New Roman" w:hAnsi="Times New Roman" w:cs="Times New Roman"/>
          <w:sz w:val="24"/>
          <w:szCs w:val="24"/>
          <w:lang w:val="en-US"/>
        </w:rPr>
        <w:t xml:space="preserve"> </w:t>
      </w:r>
      <w:r w:rsidR="00CD05D9" w:rsidRPr="00873B4D">
        <w:rPr>
          <w:rFonts w:ascii="Times New Roman" w:hAnsi="Times New Roman" w:cs="Times New Roman"/>
          <w:sz w:val="24"/>
          <w:szCs w:val="24"/>
          <w:lang w:val="en-US"/>
        </w:rPr>
        <w:t xml:space="preserve">be lower than the sum of the value created by each firm </w:t>
      </w:r>
      <w:r w:rsidR="00F3370E" w:rsidRPr="007A6E4B">
        <w:rPr>
          <w:rFonts w:ascii="Times New Roman" w:hAnsi="Times New Roman" w:cs="Times New Roman"/>
          <w:sz w:val="24"/>
          <w:lang w:val="en-US"/>
        </w:rPr>
        <w:t>(Brito and Miguel, 2017)</w:t>
      </w:r>
      <w:r w:rsidR="00CD05D9" w:rsidRPr="00873B4D">
        <w:rPr>
          <w:rFonts w:ascii="Times New Roman" w:hAnsi="Times New Roman" w:cs="Times New Roman"/>
          <w:sz w:val="24"/>
          <w:szCs w:val="24"/>
          <w:lang w:val="en-US"/>
        </w:rPr>
        <w:t>.</w:t>
      </w:r>
      <w:r w:rsidR="00EE1CF7">
        <w:rPr>
          <w:rFonts w:ascii="Times New Roman" w:hAnsi="Times New Roman" w:cs="Times New Roman"/>
          <w:sz w:val="24"/>
          <w:szCs w:val="24"/>
          <w:lang w:val="en-US"/>
        </w:rPr>
        <w:t xml:space="preserve"> </w:t>
      </w:r>
      <w:r w:rsidR="00C2670C">
        <w:rPr>
          <w:rFonts w:ascii="Times New Roman" w:hAnsi="Times New Roman" w:cs="Times New Roman"/>
          <w:sz w:val="24"/>
          <w:szCs w:val="24"/>
          <w:lang w:val="en-US"/>
        </w:rPr>
        <w:t xml:space="preserve">Therefore, </w:t>
      </w:r>
      <w:r w:rsidR="00987A38">
        <w:rPr>
          <w:rFonts w:ascii="Times New Roman" w:hAnsi="Times New Roman" w:cs="Times New Roman"/>
          <w:sz w:val="24"/>
          <w:szCs w:val="24"/>
          <w:lang w:val="en-US"/>
        </w:rPr>
        <w:t xml:space="preserve">although </w:t>
      </w:r>
      <w:r w:rsidR="00C2670C">
        <w:rPr>
          <w:rFonts w:ascii="Times New Roman" w:hAnsi="Times New Roman" w:cs="Times New Roman"/>
          <w:sz w:val="24"/>
          <w:szCs w:val="24"/>
          <w:lang w:val="en-US"/>
        </w:rPr>
        <w:t xml:space="preserve">the existence of asymmetrical buyer-supplier relationships </w:t>
      </w:r>
      <w:r w:rsidR="0081452F">
        <w:rPr>
          <w:rFonts w:ascii="Times New Roman" w:hAnsi="Times New Roman" w:cs="Times New Roman"/>
          <w:sz w:val="24"/>
          <w:szCs w:val="24"/>
          <w:lang w:val="en-US"/>
        </w:rPr>
        <w:t>in terms of sustainability</w:t>
      </w:r>
      <w:r>
        <w:rPr>
          <w:rFonts w:ascii="Times New Roman" w:hAnsi="Times New Roman" w:cs="Times New Roman"/>
          <w:sz w:val="24"/>
          <w:szCs w:val="24"/>
          <w:lang w:val="en-US"/>
        </w:rPr>
        <w:t xml:space="preserve"> developments </w:t>
      </w:r>
      <w:r w:rsidR="00E52498">
        <w:rPr>
          <w:rFonts w:ascii="Times New Roman" w:hAnsi="Times New Roman" w:cs="Times New Roman"/>
          <w:sz w:val="24"/>
          <w:szCs w:val="24"/>
          <w:lang w:val="en-US"/>
        </w:rPr>
        <w:t xml:space="preserve">may </w:t>
      </w:r>
      <w:r w:rsidR="00C2670C">
        <w:rPr>
          <w:rFonts w:ascii="Times New Roman" w:hAnsi="Times New Roman" w:cs="Times New Roman"/>
          <w:sz w:val="24"/>
          <w:szCs w:val="24"/>
          <w:lang w:val="en-US"/>
        </w:rPr>
        <w:t>affect buyer performance</w:t>
      </w:r>
      <w:r w:rsidR="00746E1D">
        <w:rPr>
          <w:rFonts w:ascii="Times New Roman" w:hAnsi="Times New Roman" w:cs="Times New Roman"/>
          <w:sz w:val="24"/>
          <w:szCs w:val="24"/>
          <w:lang w:val="en-US"/>
        </w:rPr>
        <w:t>,</w:t>
      </w:r>
      <w:r w:rsidR="002D799F">
        <w:rPr>
          <w:rFonts w:ascii="Times New Roman" w:hAnsi="Times New Roman" w:cs="Times New Roman"/>
          <w:sz w:val="24"/>
          <w:szCs w:val="24"/>
          <w:lang w:val="en-US"/>
        </w:rPr>
        <w:t xml:space="preserve"> due to legitimacy reasons </w:t>
      </w:r>
      <w:r w:rsidR="00746E1D">
        <w:rPr>
          <w:rFonts w:ascii="Times New Roman" w:hAnsi="Times New Roman" w:cs="Times New Roman"/>
          <w:sz w:val="24"/>
          <w:szCs w:val="24"/>
          <w:lang w:val="en-US"/>
        </w:rPr>
        <w:t>(</w:t>
      </w:r>
      <w:r w:rsidR="002D799F">
        <w:rPr>
          <w:rFonts w:ascii="Times New Roman" w:hAnsi="Times New Roman" w:cs="Times New Roman"/>
          <w:sz w:val="24"/>
          <w:szCs w:val="24"/>
          <w:lang w:val="en-US"/>
        </w:rPr>
        <w:t>discussed in the previous section</w:t>
      </w:r>
      <w:r w:rsidR="00746E1D">
        <w:rPr>
          <w:rFonts w:ascii="Times New Roman" w:hAnsi="Times New Roman" w:cs="Times New Roman"/>
          <w:sz w:val="24"/>
          <w:szCs w:val="24"/>
          <w:lang w:val="en-US"/>
        </w:rPr>
        <w:t>)</w:t>
      </w:r>
      <w:r w:rsidR="00C2670C">
        <w:rPr>
          <w:rFonts w:ascii="Times New Roman" w:hAnsi="Times New Roman" w:cs="Times New Roman"/>
          <w:sz w:val="24"/>
          <w:szCs w:val="24"/>
          <w:lang w:val="en-US"/>
        </w:rPr>
        <w:t xml:space="preserve">, the </w:t>
      </w:r>
      <w:r w:rsidR="00536B71">
        <w:rPr>
          <w:rFonts w:ascii="Times New Roman" w:hAnsi="Times New Roman" w:cs="Times New Roman"/>
          <w:sz w:val="24"/>
          <w:szCs w:val="24"/>
          <w:lang w:val="en-US"/>
        </w:rPr>
        <w:t xml:space="preserve">sign </w:t>
      </w:r>
      <w:r w:rsidR="00987A38">
        <w:rPr>
          <w:rFonts w:ascii="Times New Roman" w:hAnsi="Times New Roman" w:cs="Times New Roman"/>
          <w:sz w:val="24"/>
          <w:szCs w:val="24"/>
          <w:lang w:val="en-US"/>
        </w:rPr>
        <w:t xml:space="preserve">of this effect </w:t>
      </w:r>
      <w:r w:rsidR="009B15DB">
        <w:rPr>
          <w:rFonts w:ascii="Times New Roman" w:hAnsi="Times New Roman" w:cs="Times New Roman"/>
          <w:sz w:val="24"/>
          <w:szCs w:val="24"/>
          <w:lang w:val="en-US"/>
        </w:rPr>
        <w:t>is unclear</w:t>
      </w:r>
      <w:r w:rsidR="00C2670C">
        <w:rPr>
          <w:rFonts w:ascii="Times New Roman" w:hAnsi="Times New Roman" w:cs="Times New Roman"/>
          <w:sz w:val="24"/>
          <w:szCs w:val="24"/>
          <w:lang w:val="en-US"/>
        </w:rPr>
        <w:t xml:space="preserve">. </w:t>
      </w:r>
      <w:r w:rsidR="00987A38">
        <w:rPr>
          <w:rFonts w:ascii="Times New Roman" w:hAnsi="Times New Roman" w:cs="Times New Roman"/>
          <w:sz w:val="24"/>
          <w:szCs w:val="24"/>
          <w:lang w:val="en-US"/>
        </w:rPr>
        <w:t>In the next section, we further explore the relationship between sustainability asymmetries and performance.</w:t>
      </w:r>
    </w:p>
    <w:p w14:paraId="1180AA17" w14:textId="77777777" w:rsidR="00972584" w:rsidRPr="00C74FC4" w:rsidRDefault="00972584" w:rsidP="00972584">
      <w:pPr>
        <w:spacing w:line="480" w:lineRule="auto"/>
        <w:jc w:val="both"/>
        <w:rPr>
          <w:rFonts w:ascii="Times New Roman" w:eastAsia="Calibri" w:hAnsi="Times New Roman" w:cs="Times New Roman"/>
          <w:sz w:val="24"/>
          <w:szCs w:val="24"/>
          <w:lang w:val="en-GB"/>
        </w:rPr>
      </w:pPr>
    </w:p>
    <w:p w14:paraId="1E4FA5A6" w14:textId="7088D606" w:rsidR="000C09E1" w:rsidRPr="00D1660C" w:rsidRDefault="000C09E1" w:rsidP="000C09E1">
      <w:pPr>
        <w:spacing w:line="480" w:lineRule="auto"/>
        <w:jc w:val="both"/>
        <w:rPr>
          <w:rFonts w:ascii="Times New Roman" w:hAnsi="Times New Roman" w:cs="Times New Roman"/>
          <w:i/>
          <w:sz w:val="24"/>
          <w:szCs w:val="24"/>
          <w:lang w:val="en-US"/>
        </w:rPr>
      </w:pPr>
      <w:bookmarkStart w:id="5" w:name="_Hlk93391075"/>
      <w:r w:rsidRPr="00D1660C">
        <w:rPr>
          <w:rFonts w:ascii="Times New Roman" w:hAnsi="Times New Roman" w:cs="Times New Roman"/>
          <w:i/>
          <w:sz w:val="24"/>
          <w:szCs w:val="24"/>
          <w:lang w:val="en-US"/>
        </w:rPr>
        <w:t>2.3 Environmental and social sustainability asymmetries and performance</w:t>
      </w:r>
    </w:p>
    <w:p w14:paraId="70929184" w14:textId="19302756" w:rsidR="000C09E1" w:rsidRPr="00873B4D" w:rsidRDefault="00536340" w:rsidP="000C09E1">
      <w:pPr>
        <w:spacing w:line="480" w:lineRule="auto"/>
        <w:jc w:val="both"/>
        <w:rPr>
          <w:rFonts w:ascii="Times New Roman" w:hAnsi="Times New Roman" w:cs="Times New Roman"/>
          <w:sz w:val="24"/>
          <w:szCs w:val="24"/>
          <w:lang w:val="en-US"/>
        </w:rPr>
      </w:pPr>
      <w:r w:rsidRPr="00536B71">
        <w:rPr>
          <w:rFonts w:ascii="Times New Roman" w:hAnsi="Times New Roman" w:cs="Times New Roman"/>
          <w:sz w:val="24"/>
          <w:szCs w:val="24"/>
          <w:lang w:val="en-US"/>
        </w:rPr>
        <w:t>T</w:t>
      </w:r>
      <w:r w:rsidR="000C09E1" w:rsidRPr="00536B71">
        <w:rPr>
          <w:rFonts w:ascii="Times New Roman" w:hAnsi="Times New Roman" w:cs="Times New Roman"/>
          <w:sz w:val="24"/>
          <w:szCs w:val="24"/>
          <w:lang w:val="en-US"/>
        </w:rPr>
        <w:t>he effect of sustainability asymmetries</w:t>
      </w:r>
      <w:r w:rsidR="000C09E1" w:rsidRPr="00873B4D">
        <w:rPr>
          <w:rFonts w:ascii="Times New Roman" w:hAnsi="Times New Roman" w:cs="Times New Roman"/>
          <w:sz w:val="24"/>
          <w:szCs w:val="24"/>
          <w:lang w:val="en-US"/>
        </w:rPr>
        <w:t xml:space="preserve"> on buyer performance involves several complex mechanisms which may generate either positive or negative </w:t>
      </w:r>
      <w:r w:rsidR="000306AD">
        <w:rPr>
          <w:rFonts w:ascii="Times New Roman" w:hAnsi="Times New Roman" w:cs="Times New Roman"/>
          <w:sz w:val="24"/>
          <w:szCs w:val="24"/>
          <w:lang w:val="en-US"/>
        </w:rPr>
        <w:t xml:space="preserve">final </w:t>
      </w:r>
      <w:r w:rsidR="000C09E1" w:rsidRPr="00873B4D">
        <w:rPr>
          <w:rFonts w:ascii="Times New Roman" w:hAnsi="Times New Roman" w:cs="Times New Roman"/>
          <w:sz w:val="24"/>
          <w:szCs w:val="24"/>
          <w:lang w:val="en-US"/>
        </w:rPr>
        <w:t>outcome</w:t>
      </w:r>
      <w:r w:rsidR="00E80D45">
        <w:rPr>
          <w:rFonts w:ascii="Times New Roman" w:hAnsi="Times New Roman" w:cs="Times New Roman"/>
          <w:sz w:val="24"/>
          <w:szCs w:val="24"/>
          <w:lang w:val="en-US"/>
        </w:rPr>
        <w:t>s</w:t>
      </w:r>
      <w:r w:rsidR="000C09E1" w:rsidRPr="00873B4D">
        <w:rPr>
          <w:rFonts w:ascii="Times New Roman" w:hAnsi="Times New Roman" w:cs="Times New Roman"/>
          <w:sz w:val="24"/>
          <w:szCs w:val="24"/>
          <w:lang w:val="en-US"/>
        </w:rPr>
        <w:t xml:space="preserve">. </w:t>
      </w:r>
      <w:r w:rsidR="00987A38">
        <w:rPr>
          <w:rFonts w:ascii="Times New Roman" w:hAnsi="Times New Roman" w:cs="Times New Roman"/>
          <w:sz w:val="24"/>
          <w:szCs w:val="24"/>
          <w:lang w:val="en-US"/>
        </w:rPr>
        <w:t>W</w:t>
      </w:r>
      <w:r w:rsidR="000C09E1" w:rsidRPr="00873B4D">
        <w:rPr>
          <w:rFonts w:ascii="Times New Roman" w:hAnsi="Times New Roman" w:cs="Times New Roman"/>
          <w:sz w:val="24"/>
          <w:szCs w:val="24"/>
          <w:lang w:val="en-US"/>
        </w:rPr>
        <w:t>hen formulating the research hypothes</w:t>
      </w:r>
      <w:r w:rsidR="00BB2470">
        <w:rPr>
          <w:rFonts w:ascii="Times New Roman" w:hAnsi="Times New Roman" w:cs="Times New Roman"/>
          <w:sz w:val="24"/>
          <w:szCs w:val="24"/>
          <w:lang w:val="en-US"/>
        </w:rPr>
        <w:t>e</w:t>
      </w:r>
      <w:r w:rsidR="000C09E1" w:rsidRPr="00873B4D">
        <w:rPr>
          <w:rFonts w:ascii="Times New Roman" w:hAnsi="Times New Roman" w:cs="Times New Roman"/>
          <w:sz w:val="24"/>
          <w:szCs w:val="24"/>
          <w:lang w:val="en-US"/>
        </w:rPr>
        <w:t>s, it is important to consider the direction of the asymmetry</w:t>
      </w:r>
      <w:r w:rsidR="000C09E1">
        <w:rPr>
          <w:rFonts w:ascii="Times New Roman" w:hAnsi="Times New Roman" w:cs="Times New Roman"/>
          <w:sz w:val="24"/>
          <w:szCs w:val="24"/>
          <w:lang w:val="en-US"/>
        </w:rPr>
        <w:t xml:space="preserve"> and</w:t>
      </w:r>
      <w:r w:rsidR="000C09E1" w:rsidRPr="00873B4D">
        <w:rPr>
          <w:rFonts w:ascii="Times New Roman" w:hAnsi="Times New Roman" w:cs="Times New Roman"/>
          <w:sz w:val="24"/>
          <w:szCs w:val="24"/>
          <w:lang w:val="en-US"/>
        </w:rPr>
        <w:t xml:space="preserve"> includ</w:t>
      </w:r>
      <w:r w:rsidR="000C09E1">
        <w:rPr>
          <w:rFonts w:ascii="Times New Roman" w:hAnsi="Times New Roman" w:cs="Times New Roman"/>
          <w:sz w:val="24"/>
          <w:szCs w:val="24"/>
          <w:lang w:val="en-US"/>
        </w:rPr>
        <w:t>e, hence,</w:t>
      </w:r>
      <w:r w:rsidR="000C09E1" w:rsidRPr="00873B4D">
        <w:rPr>
          <w:rFonts w:ascii="Times New Roman" w:hAnsi="Times New Roman" w:cs="Times New Roman"/>
          <w:sz w:val="24"/>
          <w:szCs w:val="24"/>
          <w:lang w:val="en-US"/>
        </w:rPr>
        <w:t xml:space="preserve"> both sides in the assessment. We argue that the mechanisms can be different</w:t>
      </w:r>
      <w:r w:rsidR="000C09E1">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 depending on </w:t>
      </w:r>
      <w:r w:rsidR="000C09E1">
        <w:rPr>
          <w:rFonts w:ascii="Times New Roman" w:hAnsi="Times New Roman" w:cs="Times New Roman"/>
          <w:sz w:val="24"/>
          <w:szCs w:val="24"/>
          <w:lang w:val="en-US"/>
        </w:rPr>
        <w:t>which</w:t>
      </w:r>
      <w:r w:rsidR="000C09E1" w:rsidRPr="00873B4D">
        <w:rPr>
          <w:rFonts w:ascii="Times New Roman" w:hAnsi="Times New Roman" w:cs="Times New Roman"/>
          <w:sz w:val="24"/>
          <w:szCs w:val="24"/>
          <w:lang w:val="en-US"/>
        </w:rPr>
        <w:t xml:space="preserve"> party </w:t>
      </w:r>
      <w:r w:rsidR="002C6DE8" w:rsidRPr="00873B4D">
        <w:rPr>
          <w:rFonts w:ascii="Times New Roman" w:hAnsi="Times New Roman" w:cs="Times New Roman"/>
          <w:sz w:val="24"/>
          <w:szCs w:val="24"/>
          <w:lang w:val="en-US"/>
        </w:rPr>
        <w:t>(</w:t>
      </w:r>
      <w:r w:rsidR="002C6DE8">
        <w:rPr>
          <w:rFonts w:ascii="Times New Roman" w:hAnsi="Times New Roman" w:cs="Times New Roman"/>
          <w:sz w:val="24"/>
          <w:szCs w:val="24"/>
          <w:lang w:val="en-US"/>
        </w:rPr>
        <w:t>i.e.,</w:t>
      </w:r>
      <w:r w:rsidR="002C6DE8" w:rsidRPr="00873B4D">
        <w:rPr>
          <w:rFonts w:ascii="Times New Roman" w:hAnsi="Times New Roman" w:cs="Times New Roman"/>
          <w:sz w:val="24"/>
          <w:szCs w:val="24"/>
          <w:lang w:val="en-US"/>
        </w:rPr>
        <w:t xml:space="preserve"> buyer </w:t>
      </w:r>
      <w:r w:rsidR="002C6DE8">
        <w:rPr>
          <w:rFonts w:ascii="Times New Roman" w:hAnsi="Times New Roman" w:cs="Times New Roman"/>
          <w:sz w:val="24"/>
          <w:szCs w:val="24"/>
          <w:lang w:val="en-US"/>
        </w:rPr>
        <w:t>or</w:t>
      </w:r>
      <w:r w:rsidR="002C6DE8" w:rsidRPr="00873B4D">
        <w:rPr>
          <w:rFonts w:ascii="Times New Roman" w:hAnsi="Times New Roman" w:cs="Times New Roman"/>
          <w:sz w:val="24"/>
          <w:szCs w:val="24"/>
          <w:lang w:val="en-US"/>
        </w:rPr>
        <w:t xml:space="preserve"> supplier)</w:t>
      </w:r>
      <w:r w:rsidR="002C6DE8">
        <w:rPr>
          <w:rFonts w:ascii="Times New Roman" w:hAnsi="Times New Roman" w:cs="Times New Roman"/>
          <w:sz w:val="24"/>
          <w:szCs w:val="24"/>
          <w:lang w:val="en-US"/>
        </w:rPr>
        <w:t xml:space="preserve"> </w:t>
      </w:r>
      <w:r w:rsidR="000C09E1" w:rsidRPr="00873B4D">
        <w:rPr>
          <w:rFonts w:ascii="Times New Roman" w:hAnsi="Times New Roman" w:cs="Times New Roman"/>
          <w:sz w:val="24"/>
          <w:szCs w:val="24"/>
          <w:lang w:val="en-US"/>
        </w:rPr>
        <w:t xml:space="preserve">is leading the sustainability </w:t>
      </w:r>
      <w:r w:rsidR="00BB2470">
        <w:rPr>
          <w:rFonts w:ascii="Times New Roman" w:hAnsi="Times New Roman" w:cs="Times New Roman"/>
          <w:sz w:val="24"/>
          <w:szCs w:val="24"/>
          <w:lang w:val="en-US"/>
        </w:rPr>
        <w:t>area</w:t>
      </w:r>
      <w:r w:rsidR="000C09E1" w:rsidRPr="00873B4D">
        <w:rPr>
          <w:rFonts w:ascii="Times New Roman" w:hAnsi="Times New Roman" w:cs="Times New Roman"/>
          <w:sz w:val="24"/>
          <w:szCs w:val="24"/>
          <w:lang w:val="en-US"/>
        </w:rPr>
        <w:t xml:space="preserve">. We also posit that </w:t>
      </w:r>
      <w:r w:rsidR="000C09E1">
        <w:rPr>
          <w:rFonts w:ascii="Times New Roman" w:hAnsi="Times New Roman" w:cs="Times New Roman"/>
          <w:sz w:val="24"/>
          <w:szCs w:val="24"/>
          <w:lang w:val="en-US"/>
        </w:rPr>
        <w:t>this</w:t>
      </w:r>
      <w:r w:rsidR="000C09E1" w:rsidRPr="00873B4D">
        <w:rPr>
          <w:rFonts w:ascii="Times New Roman" w:hAnsi="Times New Roman" w:cs="Times New Roman"/>
          <w:sz w:val="24"/>
          <w:szCs w:val="24"/>
          <w:lang w:val="en-US"/>
        </w:rPr>
        <w:t xml:space="preserve"> aspect </w:t>
      </w:r>
      <w:r w:rsidR="000C09E1">
        <w:rPr>
          <w:rFonts w:ascii="Times New Roman" w:hAnsi="Times New Roman" w:cs="Times New Roman"/>
          <w:sz w:val="24"/>
          <w:szCs w:val="24"/>
          <w:lang w:val="en-US"/>
        </w:rPr>
        <w:t>might</w:t>
      </w:r>
      <w:r w:rsidR="000C09E1" w:rsidRPr="00873B4D">
        <w:rPr>
          <w:rFonts w:ascii="Times New Roman" w:hAnsi="Times New Roman" w:cs="Times New Roman"/>
          <w:sz w:val="24"/>
          <w:szCs w:val="24"/>
          <w:lang w:val="en-US"/>
        </w:rPr>
        <w:t xml:space="preserve"> also explain differences in the magnitude of outcomes. </w:t>
      </w:r>
      <w:r w:rsidR="00E80D45">
        <w:rPr>
          <w:rFonts w:ascii="Times New Roman" w:hAnsi="Times New Roman" w:cs="Times New Roman"/>
          <w:sz w:val="24"/>
          <w:szCs w:val="24"/>
          <w:lang w:val="en-US"/>
        </w:rPr>
        <w:t xml:space="preserve">In the </w:t>
      </w:r>
      <w:r w:rsidR="00536B71">
        <w:rPr>
          <w:rFonts w:ascii="Times New Roman" w:hAnsi="Times New Roman" w:cs="Times New Roman"/>
          <w:sz w:val="24"/>
          <w:szCs w:val="24"/>
          <w:lang w:val="en-US"/>
        </w:rPr>
        <w:t xml:space="preserve">following </w:t>
      </w:r>
      <w:r w:rsidR="00E80D45">
        <w:rPr>
          <w:rFonts w:ascii="Times New Roman" w:hAnsi="Times New Roman" w:cs="Times New Roman"/>
          <w:sz w:val="24"/>
          <w:szCs w:val="24"/>
          <w:lang w:val="en-US"/>
        </w:rPr>
        <w:t xml:space="preserve">paragraphs, </w:t>
      </w:r>
      <w:r w:rsidR="000C09E1" w:rsidRPr="00873B4D">
        <w:rPr>
          <w:rFonts w:ascii="Times New Roman" w:hAnsi="Times New Roman" w:cs="Times New Roman"/>
          <w:sz w:val="24"/>
          <w:szCs w:val="24"/>
          <w:lang w:val="en-US"/>
        </w:rPr>
        <w:t>we analyze each possibility.</w:t>
      </w:r>
    </w:p>
    <w:p w14:paraId="4F683DB8" w14:textId="42507489" w:rsidR="00910043" w:rsidRDefault="00E80D45" w:rsidP="00A03E9E">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Firstly, t</w:t>
      </w:r>
      <w:r w:rsidR="000C09E1" w:rsidRPr="00873B4D">
        <w:rPr>
          <w:rFonts w:ascii="Times New Roman" w:hAnsi="Times New Roman" w:cs="Times New Roman"/>
          <w:sz w:val="24"/>
          <w:szCs w:val="24"/>
          <w:lang w:val="en-US"/>
        </w:rPr>
        <w:t xml:space="preserve">he presence of sustainability asymmetries may have an overall </w:t>
      </w:r>
      <w:r w:rsidR="000C09E1" w:rsidRPr="00E41B4F">
        <w:rPr>
          <w:rFonts w:ascii="Times New Roman" w:hAnsi="Times New Roman" w:cs="Times New Roman"/>
          <w:i/>
          <w:sz w:val="24"/>
          <w:szCs w:val="24"/>
          <w:lang w:val="en-US"/>
        </w:rPr>
        <w:t>positive</w:t>
      </w:r>
      <w:r w:rsidR="000C09E1" w:rsidRPr="00873B4D">
        <w:rPr>
          <w:rFonts w:ascii="Times New Roman" w:hAnsi="Times New Roman" w:cs="Times New Roman"/>
          <w:sz w:val="24"/>
          <w:szCs w:val="24"/>
          <w:lang w:val="en-US"/>
        </w:rPr>
        <w:t xml:space="preserve"> effect on </w:t>
      </w:r>
      <w:r w:rsidR="00BB2470">
        <w:rPr>
          <w:rFonts w:ascii="Times New Roman" w:hAnsi="Times New Roman" w:cs="Times New Roman"/>
          <w:sz w:val="24"/>
          <w:szCs w:val="24"/>
          <w:lang w:val="en-US"/>
        </w:rPr>
        <w:t xml:space="preserve">the </w:t>
      </w:r>
      <w:r w:rsidR="000C09E1" w:rsidRPr="00873B4D">
        <w:rPr>
          <w:rFonts w:ascii="Times New Roman" w:hAnsi="Times New Roman" w:cs="Times New Roman"/>
          <w:sz w:val="24"/>
          <w:szCs w:val="24"/>
          <w:lang w:val="en-US"/>
        </w:rPr>
        <w:t>buyer</w:t>
      </w:r>
      <w:r w:rsidR="007A42D7">
        <w:rPr>
          <w:rFonts w:ascii="Times New Roman" w:hAnsi="Times New Roman" w:cs="Times New Roman"/>
          <w:sz w:val="24"/>
          <w:szCs w:val="24"/>
          <w:lang w:val="en-US"/>
        </w:rPr>
        <w:t>’s</w:t>
      </w:r>
      <w:r w:rsidR="000C09E1" w:rsidRPr="00873B4D">
        <w:rPr>
          <w:rFonts w:ascii="Times New Roman" w:hAnsi="Times New Roman" w:cs="Times New Roman"/>
          <w:sz w:val="24"/>
          <w:szCs w:val="24"/>
          <w:lang w:val="en-US"/>
        </w:rPr>
        <w:t xml:space="preserve"> </w:t>
      </w:r>
      <w:r w:rsidR="0041234D">
        <w:rPr>
          <w:rFonts w:ascii="Times New Roman" w:hAnsi="Times New Roman" w:cs="Times New Roman"/>
          <w:sz w:val="24"/>
          <w:szCs w:val="24"/>
          <w:lang w:val="en-US"/>
        </w:rPr>
        <w:t xml:space="preserve">financial and market </w:t>
      </w:r>
      <w:r w:rsidR="000C09E1" w:rsidRPr="00873B4D">
        <w:rPr>
          <w:rFonts w:ascii="Times New Roman" w:hAnsi="Times New Roman" w:cs="Times New Roman"/>
          <w:sz w:val="24"/>
          <w:szCs w:val="24"/>
          <w:lang w:val="en-US"/>
        </w:rPr>
        <w:t>performance.</w:t>
      </w:r>
      <w:r w:rsidR="000C09E1" w:rsidRPr="00873B4D">
        <w:rPr>
          <w:rFonts w:ascii="Times New Roman" w:hAnsi="Times New Roman" w:cs="Times New Roman"/>
          <w:b/>
          <w:sz w:val="24"/>
          <w:szCs w:val="24"/>
          <w:lang w:val="en-US"/>
        </w:rPr>
        <w:t xml:space="preserve"> </w:t>
      </w:r>
      <w:r w:rsidR="00407FB7" w:rsidRPr="0043433B">
        <w:rPr>
          <w:rFonts w:ascii="Times New Roman" w:hAnsi="Times New Roman" w:cs="Times New Roman"/>
          <w:sz w:val="24"/>
          <w:szCs w:val="24"/>
          <w:lang w:val="en-US"/>
        </w:rPr>
        <w:t xml:space="preserve">This is due to two main causes: </w:t>
      </w:r>
      <w:r w:rsidR="00407FB7">
        <w:rPr>
          <w:rFonts w:ascii="Times New Roman" w:hAnsi="Times New Roman" w:cs="Times New Roman"/>
          <w:sz w:val="24"/>
          <w:szCs w:val="24"/>
          <w:lang w:val="en-US"/>
        </w:rPr>
        <w:t xml:space="preserve">specialization and reputational effects. First, </w:t>
      </w:r>
      <w:r w:rsidR="00407FB7" w:rsidRPr="0043433B">
        <w:rPr>
          <w:rFonts w:ascii="Times New Roman" w:hAnsi="Times New Roman" w:cs="Times New Roman"/>
          <w:i/>
          <w:sz w:val="24"/>
          <w:szCs w:val="24"/>
          <w:lang w:val="en-US"/>
        </w:rPr>
        <w:t>specialization</w:t>
      </w:r>
      <w:r w:rsidR="00407FB7">
        <w:rPr>
          <w:rFonts w:ascii="Times New Roman" w:hAnsi="Times New Roman" w:cs="Times New Roman"/>
          <w:sz w:val="24"/>
          <w:szCs w:val="24"/>
          <w:lang w:val="en-US"/>
        </w:rPr>
        <w:t xml:space="preserve">: </w:t>
      </w:r>
      <w:r w:rsidR="001A4B1C">
        <w:rPr>
          <w:rFonts w:ascii="Times New Roman" w:hAnsi="Times New Roman" w:cs="Times New Roman"/>
          <w:sz w:val="24"/>
          <w:szCs w:val="24"/>
          <w:lang w:val="en-US"/>
        </w:rPr>
        <w:t>I</w:t>
      </w:r>
      <w:r w:rsidR="001A4B1C" w:rsidRPr="001A4B1C">
        <w:rPr>
          <w:rFonts w:ascii="Times New Roman" w:hAnsi="Times New Roman" w:cs="Times New Roman"/>
          <w:sz w:val="24"/>
          <w:szCs w:val="24"/>
          <w:lang w:val="en-US"/>
        </w:rPr>
        <w:t>n order to compete successfully in a particular market, firms have to</w:t>
      </w:r>
      <w:r w:rsidR="001A4B1C">
        <w:rPr>
          <w:rFonts w:ascii="Times New Roman" w:hAnsi="Times New Roman" w:cs="Times New Roman"/>
          <w:sz w:val="24"/>
          <w:szCs w:val="24"/>
          <w:lang w:val="en-US"/>
        </w:rPr>
        <w:t xml:space="preserve"> </w:t>
      </w:r>
      <w:r w:rsidR="001A4B1C" w:rsidRPr="001A4B1C">
        <w:rPr>
          <w:rFonts w:ascii="Times New Roman" w:hAnsi="Times New Roman" w:cs="Times New Roman"/>
          <w:sz w:val="24"/>
          <w:szCs w:val="24"/>
          <w:lang w:val="en-US"/>
        </w:rPr>
        <w:t>prioritize among a set of competitive priorities</w:t>
      </w:r>
      <w:r w:rsidR="001A4B1C">
        <w:rPr>
          <w:rFonts w:ascii="Times New Roman" w:hAnsi="Times New Roman" w:cs="Times New Roman"/>
          <w:sz w:val="24"/>
          <w:szCs w:val="24"/>
          <w:lang w:val="en-US"/>
        </w:rPr>
        <w:t>, e.g.</w:t>
      </w:r>
      <w:r w:rsidR="001A4B1C" w:rsidRPr="001A4B1C">
        <w:rPr>
          <w:rFonts w:ascii="Times New Roman" w:hAnsi="Times New Roman" w:cs="Times New Roman"/>
          <w:sz w:val="24"/>
          <w:szCs w:val="24"/>
          <w:lang w:val="en-US"/>
        </w:rPr>
        <w:t xml:space="preserve"> cost, quality, delivery</w:t>
      </w:r>
      <w:r w:rsidR="001A4B1C">
        <w:rPr>
          <w:rFonts w:ascii="Times New Roman" w:hAnsi="Times New Roman" w:cs="Times New Roman"/>
          <w:sz w:val="24"/>
          <w:szCs w:val="24"/>
          <w:lang w:val="en-US"/>
        </w:rPr>
        <w:t xml:space="preserve">, </w:t>
      </w:r>
      <w:r w:rsidR="001A4B1C" w:rsidRPr="001A4B1C">
        <w:rPr>
          <w:rFonts w:ascii="Times New Roman" w:hAnsi="Times New Roman" w:cs="Times New Roman"/>
          <w:sz w:val="24"/>
          <w:szCs w:val="24"/>
          <w:lang w:val="en-US"/>
        </w:rPr>
        <w:t>flexibility</w:t>
      </w:r>
      <w:r w:rsidR="001A4B1C">
        <w:rPr>
          <w:rFonts w:ascii="Times New Roman" w:hAnsi="Times New Roman" w:cs="Times New Roman"/>
          <w:sz w:val="24"/>
          <w:szCs w:val="24"/>
          <w:lang w:val="en-US"/>
        </w:rPr>
        <w:t xml:space="preserve"> and sustainability</w:t>
      </w:r>
      <w:r w:rsidR="001A4B1C">
        <w:rPr>
          <w:rFonts w:ascii="Times New Roman" w:hAnsi="Times New Roman" w:cs="Times New Roman"/>
          <w:sz w:val="24"/>
          <w:szCs w:val="24"/>
          <w:lang w:val="en-US"/>
        </w:rPr>
        <w:t xml:space="preserve">, generating trade-offs </w:t>
      </w:r>
      <w:r w:rsidR="001A4B1C">
        <w:rPr>
          <w:rFonts w:ascii="Times New Roman" w:hAnsi="Times New Roman" w:cs="Times New Roman"/>
          <w:sz w:val="24"/>
          <w:szCs w:val="24"/>
          <w:lang w:val="en-US"/>
        </w:rPr>
        <w:t>that may affect supply chain management (</w:t>
      </w:r>
      <w:proofErr w:type="spellStart"/>
      <w:r w:rsidR="001A4B1C">
        <w:rPr>
          <w:rFonts w:ascii="Times New Roman" w:hAnsi="Times New Roman" w:cs="Times New Roman"/>
          <w:sz w:val="24"/>
          <w:szCs w:val="24"/>
          <w:lang w:val="en-US"/>
        </w:rPr>
        <w:t>Dhabil</w:t>
      </w:r>
      <w:r w:rsidR="001A4B1C">
        <w:rPr>
          <w:rFonts w:ascii="Times New Roman" w:hAnsi="Times New Roman" w:cs="Times New Roman"/>
          <w:sz w:val="24"/>
          <w:szCs w:val="24"/>
          <w:lang w:val="en-US"/>
        </w:rPr>
        <w:t>kar</w:t>
      </w:r>
      <w:proofErr w:type="spellEnd"/>
      <w:r w:rsidR="001A4B1C">
        <w:rPr>
          <w:rFonts w:ascii="Times New Roman" w:hAnsi="Times New Roman" w:cs="Times New Roman"/>
          <w:sz w:val="24"/>
          <w:szCs w:val="24"/>
          <w:lang w:val="en-US"/>
        </w:rPr>
        <w:t xml:space="preserve"> et al</w:t>
      </w:r>
      <w:r w:rsidR="001A4B1C">
        <w:rPr>
          <w:rFonts w:ascii="Times New Roman" w:hAnsi="Times New Roman" w:cs="Times New Roman"/>
          <w:sz w:val="24"/>
          <w:szCs w:val="24"/>
          <w:lang w:val="en-US"/>
        </w:rPr>
        <w:t>.</w:t>
      </w:r>
      <w:r w:rsidR="001A4B1C">
        <w:rPr>
          <w:rFonts w:ascii="Times New Roman" w:hAnsi="Times New Roman" w:cs="Times New Roman"/>
          <w:sz w:val="24"/>
          <w:szCs w:val="24"/>
          <w:lang w:val="en-US"/>
        </w:rPr>
        <w:t>, 2016</w:t>
      </w:r>
      <w:proofErr w:type="gramStart"/>
      <w:r w:rsidR="001A4B1C">
        <w:rPr>
          <w:rFonts w:ascii="Times New Roman" w:hAnsi="Times New Roman" w:cs="Times New Roman"/>
          <w:sz w:val="24"/>
          <w:szCs w:val="24"/>
          <w:lang w:val="en-US"/>
        </w:rPr>
        <w:t>)</w:t>
      </w:r>
      <w:r w:rsidR="001A4B1C" w:rsidRPr="001A4B1C">
        <w:rPr>
          <w:rFonts w:ascii="Times New Roman" w:hAnsi="Times New Roman" w:cs="Times New Roman"/>
          <w:sz w:val="24"/>
          <w:szCs w:val="24"/>
          <w:lang w:val="en-US"/>
        </w:rPr>
        <w:t xml:space="preserve"> </w:t>
      </w:r>
      <w:r w:rsidR="001A4B1C">
        <w:rPr>
          <w:rFonts w:ascii="Times New Roman" w:hAnsi="Times New Roman" w:cs="Times New Roman"/>
          <w:sz w:val="24"/>
          <w:szCs w:val="24"/>
          <w:lang w:val="en-US"/>
        </w:rPr>
        <w:t>.</w:t>
      </w:r>
      <w:proofErr w:type="gramEnd"/>
      <w:r w:rsidR="001A4B1C">
        <w:rPr>
          <w:rFonts w:ascii="Times New Roman" w:hAnsi="Times New Roman" w:cs="Times New Roman"/>
          <w:sz w:val="24"/>
          <w:szCs w:val="24"/>
          <w:lang w:val="en-US"/>
        </w:rPr>
        <w:t xml:space="preserve"> </w:t>
      </w:r>
      <w:r w:rsidR="00496973">
        <w:rPr>
          <w:rFonts w:ascii="Times New Roman" w:hAnsi="Times New Roman" w:cs="Times New Roman"/>
          <w:sz w:val="24"/>
          <w:szCs w:val="24"/>
          <w:lang w:val="en-US"/>
        </w:rPr>
        <w:t>M</w:t>
      </w:r>
      <w:r w:rsidR="00496973" w:rsidRPr="00496973">
        <w:rPr>
          <w:rFonts w:ascii="Times New Roman" w:hAnsi="Times New Roman" w:cs="Times New Roman"/>
          <w:sz w:val="24"/>
          <w:szCs w:val="24"/>
          <w:lang w:val="en-US"/>
        </w:rPr>
        <w:t xml:space="preserve">odern business firms </w:t>
      </w:r>
      <w:r w:rsidR="00496973" w:rsidRPr="00496973">
        <w:rPr>
          <w:rFonts w:ascii="Times New Roman" w:hAnsi="Times New Roman" w:cs="Times New Roman"/>
          <w:sz w:val="24"/>
          <w:szCs w:val="24"/>
          <w:lang w:val="en-US"/>
        </w:rPr>
        <w:lastRenderedPageBreak/>
        <w:t>do not have access to unlimited resources, and decisions to deploy them are critical for a firm.</w:t>
      </w:r>
      <w:r w:rsidR="00496973">
        <w:rPr>
          <w:rFonts w:ascii="Times New Roman" w:hAnsi="Times New Roman" w:cs="Times New Roman"/>
          <w:sz w:val="24"/>
          <w:szCs w:val="24"/>
          <w:lang w:val="en-US"/>
        </w:rPr>
        <w:t xml:space="preserve"> </w:t>
      </w:r>
      <w:r w:rsidR="00910043">
        <w:rPr>
          <w:rFonts w:ascii="Times New Roman" w:hAnsi="Times New Roman" w:cs="Times New Roman"/>
          <w:sz w:val="24"/>
          <w:szCs w:val="24"/>
          <w:lang w:val="en-US"/>
        </w:rPr>
        <w:t>In particular, r</w:t>
      </w:r>
      <w:r w:rsidR="00910043" w:rsidRPr="00910043">
        <w:rPr>
          <w:rFonts w:ascii="Times New Roman" w:hAnsi="Times New Roman" w:cs="Times New Roman"/>
          <w:sz w:val="24"/>
          <w:szCs w:val="24"/>
          <w:lang w:val="en-US"/>
        </w:rPr>
        <w:t xml:space="preserve">ather than </w:t>
      </w:r>
      <w:r w:rsidR="00910043">
        <w:rPr>
          <w:rFonts w:ascii="Times New Roman" w:hAnsi="Times New Roman" w:cs="Times New Roman"/>
          <w:sz w:val="24"/>
          <w:szCs w:val="24"/>
          <w:lang w:val="en-US"/>
        </w:rPr>
        <w:t xml:space="preserve">aiming </w:t>
      </w:r>
      <w:r w:rsidR="00F777AB">
        <w:rPr>
          <w:rFonts w:ascii="Times New Roman" w:hAnsi="Times New Roman" w:cs="Times New Roman"/>
          <w:sz w:val="24"/>
          <w:szCs w:val="24"/>
          <w:lang w:val="en-US"/>
        </w:rPr>
        <w:t>at</w:t>
      </w:r>
      <w:r w:rsidR="00910043" w:rsidRPr="00910043">
        <w:rPr>
          <w:rFonts w:ascii="Times New Roman" w:hAnsi="Times New Roman" w:cs="Times New Roman"/>
          <w:sz w:val="24"/>
          <w:szCs w:val="24"/>
          <w:lang w:val="en-US"/>
        </w:rPr>
        <w:t xml:space="preserve"> excelling on every sub-dimension of sustainability, resource constraints </w:t>
      </w:r>
      <w:r w:rsidR="00910043">
        <w:rPr>
          <w:rFonts w:ascii="Times New Roman" w:hAnsi="Times New Roman" w:cs="Times New Roman"/>
          <w:sz w:val="24"/>
          <w:szCs w:val="24"/>
          <w:lang w:val="en-US"/>
        </w:rPr>
        <w:t>require</w:t>
      </w:r>
      <w:r w:rsidR="00910043" w:rsidRPr="00910043">
        <w:rPr>
          <w:rFonts w:ascii="Times New Roman" w:hAnsi="Times New Roman" w:cs="Times New Roman"/>
          <w:sz w:val="24"/>
          <w:szCs w:val="24"/>
          <w:lang w:val="en-US"/>
        </w:rPr>
        <w:t xml:space="preserve"> that firms focus on the ones that are most relevant to them due either to economic reasons or stakeholder pressure</w:t>
      </w:r>
      <w:r w:rsidR="00910043">
        <w:rPr>
          <w:rFonts w:ascii="Times New Roman" w:hAnsi="Times New Roman" w:cs="Times New Roman"/>
          <w:sz w:val="24"/>
          <w:szCs w:val="24"/>
          <w:lang w:val="en-US"/>
        </w:rPr>
        <w:t xml:space="preserve"> (</w:t>
      </w:r>
      <w:r w:rsidR="00910043" w:rsidRPr="00910043">
        <w:rPr>
          <w:rFonts w:ascii="Times New Roman" w:hAnsi="Times New Roman" w:cs="Times New Roman"/>
          <w:sz w:val="24"/>
          <w:szCs w:val="24"/>
          <w:lang w:val="en-US"/>
        </w:rPr>
        <w:t xml:space="preserve">Ahmed and </w:t>
      </w:r>
      <w:proofErr w:type="spellStart"/>
      <w:r w:rsidR="00910043" w:rsidRPr="00910043">
        <w:rPr>
          <w:rFonts w:ascii="Times New Roman" w:hAnsi="Times New Roman" w:cs="Times New Roman"/>
          <w:sz w:val="24"/>
          <w:szCs w:val="24"/>
          <w:lang w:val="en-US"/>
        </w:rPr>
        <w:t>Shafiki</w:t>
      </w:r>
      <w:proofErr w:type="spellEnd"/>
      <w:r w:rsidR="00910043">
        <w:rPr>
          <w:rFonts w:ascii="Times New Roman" w:hAnsi="Times New Roman" w:cs="Times New Roman"/>
          <w:sz w:val="24"/>
          <w:szCs w:val="24"/>
          <w:lang w:val="en-US"/>
        </w:rPr>
        <w:t xml:space="preserve">, </w:t>
      </w:r>
      <w:r w:rsidR="00910043" w:rsidRPr="00910043">
        <w:rPr>
          <w:rFonts w:ascii="Times New Roman" w:hAnsi="Times New Roman" w:cs="Times New Roman"/>
          <w:sz w:val="24"/>
          <w:szCs w:val="24"/>
          <w:lang w:val="en-US"/>
        </w:rPr>
        <w:t>2022)</w:t>
      </w:r>
      <w:r w:rsidR="00910043" w:rsidRPr="00910043">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 </w:t>
      </w:r>
      <w:r w:rsidR="008A5A89" w:rsidRPr="00A03E9E">
        <w:rPr>
          <w:rFonts w:ascii="Times New Roman" w:hAnsi="Times New Roman" w:cs="Times New Roman"/>
          <w:sz w:val="24"/>
          <w:szCs w:val="24"/>
          <w:lang w:val="en-US"/>
        </w:rPr>
        <w:t>I</w:t>
      </w:r>
      <w:r w:rsidR="008A5A89" w:rsidRPr="00D776B8">
        <w:rPr>
          <w:rFonts w:ascii="Times New Roman" w:hAnsi="Times New Roman" w:cs="Times New Roman"/>
          <w:sz w:val="24"/>
          <w:szCs w:val="24"/>
          <w:lang w:val="en-US"/>
        </w:rPr>
        <w:t xml:space="preserve">n this study, we posit that asymmetry allows specialization of each supply chain member in specific </w:t>
      </w:r>
      <w:r w:rsidR="008A5A89">
        <w:rPr>
          <w:rFonts w:ascii="Times New Roman" w:hAnsi="Times New Roman" w:cs="Times New Roman"/>
          <w:sz w:val="24"/>
          <w:szCs w:val="24"/>
          <w:lang w:val="en-US"/>
        </w:rPr>
        <w:t>competitive dimensions</w:t>
      </w:r>
      <w:r w:rsidR="008A5A89" w:rsidRPr="00D776B8">
        <w:rPr>
          <w:rFonts w:ascii="Times New Roman" w:hAnsi="Times New Roman" w:cs="Times New Roman"/>
          <w:sz w:val="24"/>
          <w:szCs w:val="24"/>
          <w:lang w:val="en-US"/>
        </w:rPr>
        <w:t xml:space="preserve">, which makes it less necessary to have cooperation. </w:t>
      </w:r>
      <w:r w:rsidR="008A5A89">
        <w:rPr>
          <w:rFonts w:ascii="Times New Roman" w:hAnsi="Times New Roman" w:cs="Times New Roman"/>
          <w:sz w:val="24"/>
          <w:szCs w:val="24"/>
          <w:lang w:val="en-US"/>
        </w:rPr>
        <w:t xml:space="preserve">This </w:t>
      </w:r>
      <w:r w:rsidR="008A5A89">
        <w:rPr>
          <w:rFonts w:ascii="Times New Roman" w:hAnsi="Times New Roman" w:cs="Times New Roman"/>
          <w:sz w:val="24"/>
          <w:szCs w:val="24"/>
          <w:lang w:val="en-US"/>
        </w:rPr>
        <w:t xml:space="preserve">may be </w:t>
      </w:r>
      <w:r w:rsidR="008A5A89">
        <w:rPr>
          <w:rFonts w:ascii="Times New Roman" w:hAnsi="Times New Roman" w:cs="Times New Roman"/>
          <w:sz w:val="24"/>
          <w:szCs w:val="24"/>
          <w:lang w:val="en-US"/>
        </w:rPr>
        <w:t xml:space="preserve">explained </w:t>
      </w:r>
      <w:r w:rsidR="008A5A89">
        <w:rPr>
          <w:rFonts w:ascii="Times New Roman" w:hAnsi="Times New Roman" w:cs="Times New Roman"/>
          <w:sz w:val="24"/>
          <w:szCs w:val="24"/>
          <w:lang w:val="en-US"/>
        </w:rPr>
        <w:t xml:space="preserve">because </w:t>
      </w:r>
      <w:r w:rsidR="00D776B8" w:rsidRPr="00D776B8">
        <w:rPr>
          <w:rFonts w:ascii="Times New Roman" w:hAnsi="Times New Roman" w:cs="Times New Roman"/>
          <w:sz w:val="24"/>
          <w:szCs w:val="24"/>
          <w:lang w:val="en-US"/>
        </w:rPr>
        <w:t xml:space="preserve">one of the main obstacles for supply chain sustainability is the lack of cooperation among supply chain members, due to change resistance that create lock-in situations (Silvestre et al., 2020). </w:t>
      </w:r>
      <w:r w:rsidR="008A5A89">
        <w:rPr>
          <w:rFonts w:ascii="Times New Roman" w:hAnsi="Times New Roman" w:cs="Times New Roman"/>
          <w:sz w:val="24"/>
          <w:szCs w:val="24"/>
          <w:lang w:val="en-US"/>
        </w:rPr>
        <w:t>For example, i</w:t>
      </w:r>
      <w:r w:rsidR="00A03E9E">
        <w:rPr>
          <w:rFonts w:ascii="Times New Roman" w:hAnsi="Times New Roman" w:cs="Times New Roman"/>
          <w:sz w:val="24"/>
          <w:szCs w:val="24"/>
          <w:lang w:val="en-US"/>
        </w:rPr>
        <w:t xml:space="preserve">t is well-known </w:t>
      </w:r>
      <w:r w:rsidR="00A03E9E">
        <w:rPr>
          <w:rFonts w:ascii="Times New Roman" w:hAnsi="Times New Roman" w:cs="Times New Roman"/>
          <w:sz w:val="24"/>
          <w:szCs w:val="24"/>
          <w:lang w:val="en-US"/>
        </w:rPr>
        <w:t xml:space="preserve">the </w:t>
      </w:r>
      <w:r w:rsidR="00A03E9E" w:rsidRPr="00A03E9E">
        <w:rPr>
          <w:rFonts w:ascii="Times New Roman" w:hAnsi="Times New Roman" w:cs="Times New Roman"/>
          <w:sz w:val="24"/>
          <w:szCs w:val="24"/>
          <w:lang w:val="en-US"/>
        </w:rPr>
        <w:t>trade-off which purchasing</w:t>
      </w:r>
      <w:r w:rsidR="00A03E9E">
        <w:rPr>
          <w:rFonts w:ascii="Times New Roman" w:hAnsi="Times New Roman" w:cs="Times New Roman"/>
          <w:sz w:val="24"/>
          <w:szCs w:val="24"/>
          <w:lang w:val="en-US"/>
        </w:rPr>
        <w:t xml:space="preserve"> </w:t>
      </w:r>
      <w:r w:rsidR="00A03E9E" w:rsidRPr="00A03E9E">
        <w:rPr>
          <w:rFonts w:ascii="Times New Roman" w:hAnsi="Times New Roman" w:cs="Times New Roman"/>
          <w:sz w:val="24"/>
          <w:szCs w:val="24"/>
          <w:lang w:val="en-US"/>
        </w:rPr>
        <w:t>professionals face between the potentially conflicting objectives</w:t>
      </w:r>
      <w:r w:rsidR="00A03E9E">
        <w:rPr>
          <w:rFonts w:ascii="Times New Roman" w:hAnsi="Times New Roman" w:cs="Times New Roman"/>
          <w:sz w:val="24"/>
          <w:szCs w:val="24"/>
          <w:lang w:val="en-US"/>
        </w:rPr>
        <w:t xml:space="preserve"> of cost reduction and </w:t>
      </w:r>
      <w:r w:rsidR="00A03E9E">
        <w:rPr>
          <w:rFonts w:ascii="Times New Roman" w:hAnsi="Times New Roman" w:cs="Times New Roman"/>
          <w:sz w:val="24"/>
          <w:szCs w:val="24"/>
          <w:lang w:val="en-US"/>
        </w:rPr>
        <w:t>sustainability</w:t>
      </w:r>
      <w:r w:rsidR="00A03E9E" w:rsidRPr="00A03E9E">
        <w:rPr>
          <w:rFonts w:ascii="Times New Roman" w:hAnsi="Times New Roman" w:cs="Times New Roman"/>
          <w:sz w:val="24"/>
          <w:szCs w:val="24"/>
          <w:lang w:val="en-US"/>
        </w:rPr>
        <w:t xml:space="preserve"> in alignment with the non-economic goals of the</w:t>
      </w:r>
      <w:r w:rsidR="00A03E9E">
        <w:rPr>
          <w:rFonts w:ascii="Times New Roman" w:hAnsi="Times New Roman" w:cs="Times New Roman"/>
          <w:sz w:val="24"/>
          <w:szCs w:val="24"/>
          <w:lang w:val="en-US"/>
        </w:rPr>
        <w:t xml:space="preserve"> </w:t>
      </w:r>
      <w:proofErr w:type="spellStart"/>
      <w:r w:rsidR="00A03E9E" w:rsidRPr="00A03E9E">
        <w:rPr>
          <w:rFonts w:ascii="Times New Roman" w:hAnsi="Times New Roman" w:cs="Times New Roman"/>
          <w:sz w:val="24"/>
          <w:szCs w:val="24"/>
          <w:lang w:val="en-US"/>
        </w:rPr>
        <w:t>organisation</w:t>
      </w:r>
      <w:proofErr w:type="spellEnd"/>
      <w:r w:rsidR="00A03E9E" w:rsidRPr="00A03E9E">
        <w:rPr>
          <w:rFonts w:ascii="Times New Roman" w:hAnsi="Times New Roman" w:cs="Times New Roman"/>
          <w:sz w:val="24"/>
          <w:szCs w:val="24"/>
          <w:lang w:val="en-US"/>
        </w:rPr>
        <w:t xml:space="preserve"> (Reuter et al., 2012).</w:t>
      </w:r>
      <w:r w:rsidR="00A03E9E">
        <w:rPr>
          <w:rFonts w:ascii="Times New Roman" w:hAnsi="Times New Roman" w:cs="Times New Roman"/>
          <w:sz w:val="24"/>
          <w:szCs w:val="24"/>
          <w:lang w:val="en-US"/>
        </w:rPr>
        <w:t xml:space="preserve"> </w:t>
      </w:r>
      <w:r w:rsidR="008A5A89">
        <w:rPr>
          <w:rFonts w:ascii="Times New Roman" w:hAnsi="Times New Roman" w:cs="Times New Roman"/>
          <w:sz w:val="24"/>
          <w:szCs w:val="24"/>
          <w:lang w:val="en-US"/>
        </w:rPr>
        <w:t xml:space="preserve">Accordingly, </w:t>
      </w:r>
      <w:r w:rsidR="000563AD">
        <w:rPr>
          <w:rFonts w:ascii="Times New Roman" w:hAnsi="Times New Roman" w:cs="Times New Roman"/>
          <w:sz w:val="24"/>
          <w:szCs w:val="24"/>
          <w:lang w:val="en-US"/>
        </w:rPr>
        <w:t xml:space="preserve">a buyer could focus on improving sustainable product features, whereas a supplier would </w:t>
      </w:r>
      <w:r w:rsidR="000563AD">
        <w:rPr>
          <w:rFonts w:ascii="Times New Roman" w:hAnsi="Times New Roman" w:cs="Times New Roman"/>
          <w:sz w:val="24"/>
          <w:szCs w:val="24"/>
          <w:lang w:val="en-US"/>
        </w:rPr>
        <w:t xml:space="preserve">focus on reducing production cost of raw materials. </w:t>
      </w:r>
      <w:r w:rsidR="008A5A89">
        <w:rPr>
          <w:rFonts w:ascii="Times New Roman" w:hAnsi="Times New Roman" w:cs="Times New Roman"/>
          <w:sz w:val="24"/>
          <w:szCs w:val="24"/>
          <w:lang w:val="en-US"/>
        </w:rPr>
        <w:t xml:space="preserve">In this case, little cooperation between buyer and supplier would be necessary, </w:t>
      </w:r>
      <w:r w:rsidR="008A5A89">
        <w:rPr>
          <w:rFonts w:ascii="Times New Roman" w:hAnsi="Times New Roman" w:cs="Times New Roman"/>
          <w:sz w:val="24"/>
          <w:szCs w:val="24"/>
          <w:lang w:val="en-US"/>
        </w:rPr>
        <w:t xml:space="preserve">even though product profitability could be maintained high (due to the low production costs and high customer acceptance). </w:t>
      </w:r>
      <w:r w:rsidR="00D776B8" w:rsidRPr="00D776B8">
        <w:rPr>
          <w:rFonts w:ascii="Times New Roman" w:hAnsi="Times New Roman" w:cs="Times New Roman"/>
          <w:sz w:val="24"/>
          <w:szCs w:val="24"/>
          <w:lang w:val="en-US"/>
        </w:rPr>
        <w:t>Therefore, asym</w:t>
      </w:r>
      <w:r w:rsidR="00D776B8">
        <w:rPr>
          <w:rFonts w:ascii="Times New Roman" w:hAnsi="Times New Roman" w:cs="Times New Roman"/>
          <w:sz w:val="24"/>
          <w:szCs w:val="24"/>
          <w:lang w:val="en-US"/>
        </w:rPr>
        <w:t>m</w:t>
      </w:r>
      <w:r w:rsidR="00D776B8" w:rsidRPr="00D776B8">
        <w:rPr>
          <w:rFonts w:ascii="Times New Roman" w:hAnsi="Times New Roman" w:cs="Times New Roman"/>
          <w:sz w:val="24"/>
          <w:szCs w:val="24"/>
          <w:lang w:val="en-US"/>
        </w:rPr>
        <w:t xml:space="preserve">etry could have a positive effect in terms </w:t>
      </w:r>
      <w:r w:rsidR="00910043">
        <w:rPr>
          <w:rFonts w:ascii="Times New Roman" w:hAnsi="Times New Roman" w:cs="Times New Roman"/>
          <w:sz w:val="24"/>
          <w:szCs w:val="24"/>
          <w:lang w:val="en-US"/>
        </w:rPr>
        <w:t>of financial and market performance</w:t>
      </w:r>
      <w:r w:rsidR="00D776B8" w:rsidRPr="00D776B8">
        <w:rPr>
          <w:rFonts w:ascii="Times New Roman" w:hAnsi="Times New Roman" w:cs="Times New Roman"/>
          <w:sz w:val="24"/>
          <w:szCs w:val="24"/>
          <w:lang w:val="en-US"/>
        </w:rPr>
        <w:t>.</w:t>
      </w:r>
      <w:r w:rsidR="00D776B8">
        <w:rPr>
          <w:rFonts w:ascii="Times New Roman" w:hAnsi="Times New Roman" w:cs="Times New Roman"/>
          <w:sz w:val="24"/>
          <w:szCs w:val="24"/>
          <w:lang w:val="en-US"/>
        </w:rPr>
        <w:t xml:space="preserve"> </w:t>
      </w:r>
    </w:p>
    <w:p w14:paraId="41E56858" w14:textId="49FABC1B" w:rsidR="000C09E1" w:rsidRPr="00873B4D" w:rsidRDefault="007B16F5" w:rsidP="00647CB1">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also the </w:t>
      </w:r>
      <w:r w:rsidR="005065F7" w:rsidRPr="0043433B">
        <w:rPr>
          <w:rFonts w:ascii="Times New Roman" w:hAnsi="Times New Roman" w:cs="Times New Roman"/>
          <w:i/>
          <w:sz w:val="24"/>
          <w:szCs w:val="24"/>
          <w:lang w:val="en-US"/>
        </w:rPr>
        <w:t>reputation</w:t>
      </w:r>
      <w:r w:rsidR="005065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effect </w:t>
      </w:r>
      <w:r w:rsidR="00E52498">
        <w:rPr>
          <w:rFonts w:ascii="Times New Roman" w:hAnsi="Times New Roman" w:cs="Times New Roman"/>
          <w:sz w:val="24"/>
          <w:szCs w:val="24"/>
          <w:lang w:val="en-US"/>
        </w:rPr>
        <w:t>derived from</w:t>
      </w:r>
      <w:r>
        <w:rPr>
          <w:rFonts w:ascii="Times New Roman" w:hAnsi="Times New Roman" w:cs="Times New Roman"/>
          <w:sz w:val="24"/>
          <w:szCs w:val="24"/>
          <w:lang w:val="en-US"/>
        </w:rPr>
        <w:t xml:space="preserve"> </w:t>
      </w:r>
      <w:r w:rsidR="00536B71">
        <w:rPr>
          <w:rFonts w:ascii="Times New Roman" w:hAnsi="Times New Roman" w:cs="Times New Roman"/>
          <w:sz w:val="24"/>
          <w:szCs w:val="24"/>
          <w:lang w:val="en-US"/>
        </w:rPr>
        <w:t xml:space="preserve">a particular </w:t>
      </w:r>
      <w:r w:rsidR="00E52498">
        <w:rPr>
          <w:rFonts w:ascii="Times New Roman" w:hAnsi="Times New Roman" w:cs="Times New Roman"/>
          <w:sz w:val="24"/>
          <w:szCs w:val="24"/>
          <w:lang w:val="en-US"/>
        </w:rPr>
        <w:t>buyer-</w:t>
      </w:r>
      <w:r w:rsidR="00E52498" w:rsidRPr="0086553A">
        <w:rPr>
          <w:rFonts w:ascii="Times New Roman" w:hAnsi="Times New Roman" w:cs="Times New Roman"/>
          <w:sz w:val="24"/>
          <w:szCs w:val="24"/>
          <w:lang w:val="en-US"/>
        </w:rPr>
        <w:t xml:space="preserve">led </w:t>
      </w:r>
      <w:r w:rsidRPr="0086553A">
        <w:rPr>
          <w:rFonts w:ascii="Times New Roman" w:hAnsi="Times New Roman" w:cs="Times New Roman"/>
          <w:sz w:val="24"/>
          <w:szCs w:val="24"/>
          <w:lang w:val="en-US"/>
        </w:rPr>
        <w:t xml:space="preserve">sustainability </w:t>
      </w:r>
      <w:r w:rsidR="00006E80" w:rsidRPr="0086553A">
        <w:rPr>
          <w:rFonts w:ascii="Times New Roman" w:hAnsi="Times New Roman" w:cs="Times New Roman"/>
          <w:sz w:val="24"/>
          <w:szCs w:val="24"/>
          <w:lang w:val="en-US"/>
        </w:rPr>
        <w:t>area</w:t>
      </w:r>
      <w:r w:rsidR="00C2502C" w:rsidRPr="0086553A">
        <w:rPr>
          <w:rFonts w:ascii="Times New Roman" w:hAnsi="Times New Roman" w:cs="Times New Roman"/>
          <w:sz w:val="24"/>
          <w:szCs w:val="24"/>
          <w:lang w:val="en-US"/>
        </w:rPr>
        <w:t>, being reflected as well in the market valuation</w:t>
      </w:r>
      <w:r w:rsidR="006476A1" w:rsidRPr="0086553A">
        <w:rPr>
          <w:rFonts w:ascii="Times New Roman" w:hAnsi="Times New Roman" w:cs="Times New Roman"/>
          <w:sz w:val="24"/>
          <w:szCs w:val="24"/>
          <w:lang w:val="en-US"/>
        </w:rPr>
        <w:t xml:space="preserve"> of the company</w:t>
      </w:r>
      <w:r w:rsidR="002C6DE8">
        <w:rPr>
          <w:rFonts w:ascii="Times New Roman" w:hAnsi="Times New Roman" w:cs="Times New Roman"/>
          <w:sz w:val="24"/>
          <w:szCs w:val="24"/>
          <w:lang w:val="en-US"/>
        </w:rPr>
        <w:t>, with investors being particularly aware of it</w:t>
      </w:r>
      <w:r w:rsidRPr="0086553A">
        <w:rPr>
          <w:rFonts w:ascii="Times New Roman" w:hAnsi="Times New Roman" w:cs="Times New Roman"/>
          <w:sz w:val="24"/>
          <w:szCs w:val="24"/>
          <w:lang w:val="en-US"/>
        </w:rPr>
        <w:t xml:space="preserve">. </w:t>
      </w:r>
      <w:r w:rsidR="003965F4" w:rsidRPr="003965F4">
        <w:rPr>
          <w:rFonts w:ascii="Times New Roman" w:hAnsi="Times New Roman" w:cs="Times New Roman"/>
          <w:sz w:val="24"/>
          <w:szCs w:val="24"/>
          <w:lang w:val="en-US"/>
        </w:rPr>
        <w:t>Buyer firms may also have the additional benefit of playing a dominant role in disseminating sustainability across their supply chain members (</w:t>
      </w:r>
      <w:proofErr w:type="spellStart"/>
      <w:r w:rsidR="003965F4" w:rsidRPr="003965F4">
        <w:rPr>
          <w:rFonts w:ascii="Times New Roman" w:hAnsi="Times New Roman" w:cs="Times New Roman"/>
          <w:sz w:val="24"/>
          <w:szCs w:val="24"/>
          <w:lang w:val="en-US"/>
        </w:rPr>
        <w:t>Meqdadi</w:t>
      </w:r>
      <w:proofErr w:type="spellEnd"/>
      <w:r w:rsidR="003965F4" w:rsidRPr="003965F4">
        <w:rPr>
          <w:rFonts w:ascii="Times New Roman" w:hAnsi="Times New Roman" w:cs="Times New Roman"/>
          <w:sz w:val="24"/>
          <w:szCs w:val="24"/>
          <w:lang w:val="en-US"/>
        </w:rPr>
        <w:t xml:space="preserve"> et al., 2019), increasing thereby their legitimacy status in the society. This is especially important when the focal companies belong to sensitive sectors, which tend to be more scrutinized. </w:t>
      </w:r>
      <w:r w:rsidR="00E52498" w:rsidRPr="0086553A">
        <w:rPr>
          <w:rFonts w:ascii="Times New Roman" w:hAnsi="Times New Roman" w:cs="Times New Roman"/>
          <w:sz w:val="24"/>
          <w:szCs w:val="24"/>
          <w:lang w:val="en-US"/>
        </w:rPr>
        <w:t>More generally, w</w:t>
      </w:r>
      <w:r w:rsidR="000C09E1" w:rsidRPr="0086553A">
        <w:rPr>
          <w:rFonts w:ascii="Times New Roman" w:hAnsi="Times New Roman" w:cs="Times New Roman"/>
          <w:sz w:val="24"/>
          <w:szCs w:val="24"/>
          <w:lang w:val="en-US"/>
        </w:rPr>
        <w:t xml:space="preserve">hen the buyer firm takes a </w:t>
      </w:r>
      <w:r w:rsidR="000C09E1" w:rsidRPr="0086553A">
        <w:rPr>
          <w:rFonts w:ascii="Times New Roman" w:hAnsi="Times New Roman" w:cs="Times New Roman"/>
          <w:i/>
          <w:sz w:val="24"/>
          <w:szCs w:val="24"/>
          <w:lang w:val="en-US"/>
        </w:rPr>
        <w:t>leading</w:t>
      </w:r>
      <w:r w:rsidR="000C09E1" w:rsidRPr="0086553A">
        <w:rPr>
          <w:rFonts w:ascii="Times New Roman" w:hAnsi="Times New Roman" w:cs="Times New Roman"/>
          <w:sz w:val="24"/>
          <w:szCs w:val="24"/>
          <w:lang w:val="en-US"/>
        </w:rPr>
        <w:t xml:space="preserve"> sustainability approach (</w:t>
      </w:r>
      <w:r w:rsidR="00536B71" w:rsidRPr="0086553A">
        <w:rPr>
          <w:rFonts w:ascii="Times New Roman" w:hAnsi="Times New Roman" w:cs="Times New Roman"/>
          <w:sz w:val="24"/>
          <w:szCs w:val="24"/>
          <w:lang w:val="en-US"/>
        </w:rPr>
        <w:t>i.e.,</w:t>
      </w:r>
      <w:r w:rsidR="000C09E1" w:rsidRPr="0086553A">
        <w:rPr>
          <w:rFonts w:ascii="Times New Roman" w:hAnsi="Times New Roman" w:cs="Times New Roman"/>
          <w:sz w:val="24"/>
          <w:szCs w:val="24"/>
          <w:lang w:val="en-US"/>
        </w:rPr>
        <w:t xml:space="preserve"> the buyer</w:t>
      </w:r>
      <w:r w:rsidR="005A2558" w:rsidRPr="0086553A">
        <w:rPr>
          <w:rFonts w:ascii="Times New Roman" w:hAnsi="Times New Roman" w:cs="Times New Roman"/>
          <w:sz w:val="24"/>
          <w:szCs w:val="24"/>
          <w:lang w:val="en-US"/>
        </w:rPr>
        <w:t>’s</w:t>
      </w:r>
      <w:r w:rsidR="000C09E1" w:rsidRPr="0086553A">
        <w:rPr>
          <w:rFonts w:ascii="Times New Roman" w:hAnsi="Times New Roman" w:cs="Times New Roman"/>
          <w:sz w:val="24"/>
          <w:szCs w:val="24"/>
          <w:lang w:val="en-US"/>
        </w:rPr>
        <w:t xml:space="preserve"> </w:t>
      </w:r>
      <w:r w:rsidR="00810984" w:rsidRPr="0086553A">
        <w:rPr>
          <w:rFonts w:ascii="Times New Roman" w:hAnsi="Times New Roman" w:cs="Times New Roman"/>
          <w:sz w:val="24"/>
          <w:szCs w:val="24"/>
          <w:lang w:val="en-US"/>
        </w:rPr>
        <w:t>development</w:t>
      </w:r>
      <w:r w:rsidR="000D6AF1" w:rsidRPr="0086553A">
        <w:rPr>
          <w:rFonts w:ascii="Times New Roman" w:hAnsi="Times New Roman" w:cs="Times New Roman"/>
          <w:sz w:val="24"/>
          <w:szCs w:val="24"/>
          <w:lang w:val="en-US"/>
        </w:rPr>
        <w:t>s in</w:t>
      </w:r>
      <w:r w:rsidR="005A2558" w:rsidRPr="0086553A">
        <w:rPr>
          <w:rFonts w:ascii="Times New Roman" w:hAnsi="Times New Roman" w:cs="Times New Roman"/>
          <w:sz w:val="24"/>
          <w:szCs w:val="24"/>
          <w:lang w:val="en-US"/>
        </w:rPr>
        <w:t xml:space="preserve"> sustainability</w:t>
      </w:r>
      <w:r w:rsidR="000C09E1" w:rsidRPr="0086553A">
        <w:rPr>
          <w:rFonts w:ascii="Times New Roman" w:hAnsi="Times New Roman" w:cs="Times New Roman"/>
          <w:sz w:val="24"/>
          <w:szCs w:val="24"/>
          <w:lang w:val="en-US"/>
        </w:rPr>
        <w:t xml:space="preserve"> is</w:t>
      </w:r>
      <w:r w:rsidR="000C09E1" w:rsidRPr="00873B4D">
        <w:rPr>
          <w:rFonts w:ascii="Times New Roman" w:hAnsi="Times New Roman" w:cs="Times New Roman"/>
          <w:sz w:val="24"/>
          <w:szCs w:val="24"/>
          <w:lang w:val="en-US"/>
        </w:rPr>
        <w:t xml:space="preserve"> higher than </w:t>
      </w:r>
      <w:r w:rsidR="000C09E1">
        <w:rPr>
          <w:rFonts w:ascii="Times New Roman" w:hAnsi="Times New Roman" w:cs="Times New Roman"/>
          <w:sz w:val="24"/>
          <w:szCs w:val="24"/>
          <w:lang w:val="en-US"/>
        </w:rPr>
        <w:t xml:space="preserve">the </w:t>
      </w:r>
      <w:r w:rsidR="000C09E1" w:rsidRPr="00873B4D">
        <w:rPr>
          <w:rFonts w:ascii="Times New Roman" w:hAnsi="Times New Roman" w:cs="Times New Roman"/>
          <w:sz w:val="24"/>
          <w:szCs w:val="24"/>
          <w:lang w:val="en-US"/>
        </w:rPr>
        <w:t>supplier</w:t>
      </w:r>
      <w:r w:rsidR="00CB3485">
        <w:rPr>
          <w:rFonts w:ascii="Times New Roman" w:hAnsi="Times New Roman" w:cs="Times New Roman"/>
          <w:sz w:val="24"/>
          <w:szCs w:val="24"/>
          <w:lang w:val="en-US"/>
        </w:rPr>
        <w:t>’s</w:t>
      </w:r>
      <w:r w:rsidR="00CE4F3E">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 </w:t>
      </w:r>
      <w:r w:rsidR="005065F7">
        <w:rPr>
          <w:rFonts w:ascii="Times New Roman" w:hAnsi="Times New Roman" w:cs="Times New Roman"/>
          <w:sz w:val="24"/>
          <w:szCs w:val="24"/>
          <w:lang w:val="en-US"/>
        </w:rPr>
        <w:lastRenderedPageBreak/>
        <w:t>its profitability may</w:t>
      </w:r>
      <w:r w:rsidR="005065F7" w:rsidRPr="00873B4D">
        <w:rPr>
          <w:rFonts w:ascii="Times New Roman" w:hAnsi="Times New Roman" w:cs="Times New Roman"/>
          <w:sz w:val="24"/>
          <w:szCs w:val="24"/>
          <w:lang w:val="en-US"/>
        </w:rPr>
        <w:t xml:space="preserve"> increase</w:t>
      </w:r>
      <w:r w:rsidR="007D4216">
        <w:rPr>
          <w:rFonts w:ascii="Times New Roman" w:hAnsi="Times New Roman" w:cs="Times New Roman"/>
          <w:sz w:val="24"/>
          <w:szCs w:val="24"/>
          <w:lang w:val="en-US"/>
        </w:rPr>
        <w:t xml:space="preserve">. </w:t>
      </w:r>
      <w:r w:rsidR="00284794" w:rsidRPr="00284794">
        <w:rPr>
          <w:rFonts w:ascii="Times New Roman" w:hAnsi="Times New Roman" w:cs="Times New Roman"/>
          <w:sz w:val="24"/>
          <w:szCs w:val="24"/>
          <w:lang w:val="en-US"/>
        </w:rPr>
        <w:t>Both specialization and reputation effects increase the profitability of the focal firm, because they allow the firm to increase revenues</w:t>
      </w:r>
      <w:r w:rsidR="00647CB1">
        <w:rPr>
          <w:rFonts w:ascii="Times New Roman" w:hAnsi="Times New Roman" w:cs="Times New Roman"/>
          <w:sz w:val="24"/>
          <w:szCs w:val="24"/>
          <w:lang w:val="en-US"/>
        </w:rPr>
        <w:t>. Actually,</w:t>
      </w:r>
      <w:r w:rsidR="00284794" w:rsidRPr="00284794">
        <w:rPr>
          <w:rFonts w:ascii="Times New Roman" w:hAnsi="Times New Roman" w:cs="Times New Roman"/>
          <w:sz w:val="24"/>
          <w:szCs w:val="24"/>
          <w:lang w:val="en-US"/>
        </w:rPr>
        <w:t xml:space="preserve"> firm</w:t>
      </w:r>
      <w:r w:rsidR="00527A9C">
        <w:rPr>
          <w:rFonts w:ascii="Times New Roman" w:hAnsi="Times New Roman" w:cs="Times New Roman"/>
          <w:sz w:val="24"/>
          <w:szCs w:val="24"/>
          <w:lang w:val="en-US"/>
        </w:rPr>
        <w:t>s</w:t>
      </w:r>
      <w:r w:rsidR="00284794" w:rsidRPr="00284794">
        <w:rPr>
          <w:rFonts w:ascii="Times New Roman" w:hAnsi="Times New Roman" w:cs="Times New Roman"/>
          <w:sz w:val="24"/>
          <w:szCs w:val="24"/>
          <w:lang w:val="en-US"/>
        </w:rPr>
        <w:t xml:space="preserve"> </w:t>
      </w:r>
      <w:r w:rsidR="00034A89">
        <w:rPr>
          <w:rFonts w:ascii="Times New Roman" w:hAnsi="Times New Roman" w:cs="Times New Roman"/>
          <w:sz w:val="24"/>
          <w:szCs w:val="24"/>
          <w:lang w:val="en-US"/>
        </w:rPr>
        <w:t xml:space="preserve">often </w:t>
      </w:r>
      <w:r w:rsidR="00034A89">
        <w:rPr>
          <w:rFonts w:ascii="Times New Roman" w:hAnsi="Times New Roman" w:cs="Times New Roman"/>
          <w:sz w:val="24"/>
          <w:szCs w:val="24"/>
          <w:lang w:val="en-US"/>
        </w:rPr>
        <w:t>improve their financial results</w:t>
      </w:r>
      <w:r w:rsidR="00034A89">
        <w:rPr>
          <w:rFonts w:ascii="Times New Roman" w:hAnsi="Times New Roman" w:cs="Times New Roman"/>
          <w:sz w:val="24"/>
          <w:szCs w:val="24"/>
          <w:lang w:val="en-US"/>
        </w:rPr>
        <w:t xml:space="preserve"> by</w:t>
      </w:r>
      <w:r w:rsidR="00284794" w:rsidRPr="00284794">
        <w:rPr>
          <w:rFonts w:ascii="Times New Roman" w:hAnsi="Times New Roman" w:cs="Times New Roman"/>
          <w:sz w:val="24"/>
          <w:szCs w:val="24"/>
          <w:lang w:val="en-US"/>
        </w:rPr>
        <w:t xml:space="preserve"> charg</w:t>
      </w:r>
      <w:r w:rsidR="00034A89">
        <w:rPr>
          <w:rFonts w:ascii="Times New Roman" w:hAnsi="Times New Roman" w:cs="Times New Roman"/>
          <w:sz w:val="24"/>
          <w:szCs w:val="24"/>
          <w:lang w:val="en-US"/>
        </w:rPr>
        <w:t>ing</w:t>
      </w:r>
      <w:r w:rsidR="00284794" w:rsidRPr="00284794">
        <w:rPr>
          <w:rFonts w:ascii="Times New Roman" w:hAnsi="Times New Roman" w:cs="Times New Roman"/>
          <w:sz w:val="24"/>
          <w:szCs w:val="24"/>
          <w:lang w:val="en-US"/>
        </w:rPr>
        <w:t xml:space="preserve"> a “</w:t>
      </w:r>
      <w:r w:rsidR="00034A89">
        <w:rPr>
          <w:rFonts w:ascii="Times New Roman" w:hAnsi="Times New Roman" w:cs="Times New Roman"/>
          <w:sz w:val="24"/>
          <w:szCs w:val="24"/>
          <w:lang w:val="en-US"/>
        </w:rPr>
        <w:t>p</w:t>
      </w:r>
      <w:r w:rsidR="00284794" w:rsidRPr="00284794">
        <w:rPr>
          <w:rFonts w:ascii="Times New Roman" w:hAnsi="Times New Roman" w:cs="Times New Roman"/>
          <w:sz w:val="24"/>
          <w:szCs w:val="24"/>
          <w:lang w:val="en-US"/>
        </w:rPr>
        <w:t>rice premium” for higher sustainability</w:t>
      </w:r>
      <w:r w:rsidR="00647CB1">
        <w:rPr>
          <w:rFonts w:ascii="Times New Roman" w:hAnsi="Times New Roman" w:cs="Times New Roman"/>
          <w:sz w:val="24"/>
          <w:szCs w:val="24"/>
          <w:lang w:val="en-US"/>
        </w:rPr>
        <w:t xml:space="preserve"> (</w:t>
      </w:r>
      <w:proofErr w:type="spellStart"/>
      <w:r w:rsidR="00527A9C">
        <w:rPr>
          <w:rFonts w:ascii="Times New Roman" w:hAnsi="Times New Roman" w:cs="Times New Roman"/>
          <w:sz w:val="24"/>
          <w:szCs w:val="24"/>
          <w:lang w:val="en-US"/>
        </w:rPr>
        <w:t>Sch</w:t>
      </w:r>
      <w:r w:rsidR="00E065D0">
        <w:rPr>
          <w:rFonts w:ascii="Times New Roman" w:hAnsi="Times New Roman" w:cs="Times New Roman"/>
          <w:sz w:val="24"/>
          <w:szCs w:val="24"/>
          <w:lang w:val="en-US"/>
        </w:rPr>
        <w:t>ä</w:t>
      </w:r>
      <w:r w:rsidR="00527A9C">
        <w:rPr>
          <w:rFonts w:ascii="Times New Roman" w:hAnsi="Times New Roman" w:cs="Times New Roman"/>
          <w:sz w:val="24"/>
          <w:szCs w:val="24"/>
          <w:lang w:val="en-US"/>
        </w:rPr>
        <w:t>ufelle</w:t>
      </w:r>
      <w:proofErr w:type="spellEnd"/>
      <w:r w:rsidR="00527A9C">
        <w:rPr>
          <w:rFonts w:ascii="Times New Roman" w:hAnsi="Times New Roman" w:cs="Times New Roman"/>
          <w:sz w:val="24"/>
          <w:szCs w:val="24"/>
          <w:lang w:val="en-US"/>
        </w:rPr>
        <w:t xml:space="preserve"> and Hamm, 2017</w:t>
      </w:r>
      <w:r w:rsidR="00284794" w:rsidRPr="00284794">
        <w:rPr>
          <w:rFonts w:ascii="Times New Roman" w:hAnsi="Times New Roman" w:cs="Times New Roman"/>
          <w:sz w:val="24"/>
          <w:szCs w:val="24"/>
          <w:lang w:val="en-US"/>
        </w:rPr>
        <w:t>)</w:t>
      </w:r>
      <w:r w:rsidR="002E079D">
        <w:rPr>
          <w:rFonts w:ascii="Times New Roman" w:hAnsi="Times New Roman" w:cs="Times New Roman"/>
          <w:sz w:val="24"/>
          <w:szCs w:val="24"/>
          <w:lang w:val="en-US"/>
        </w:rPr>
        <w:t xml:space="preserve">. </w:t>
      </w:r>
      <w:r w:rsidR="00647CB1">
        <w:rPr>
          <w:rFonts w:ascii="Times New Roman" w:hAnsi="Times New Roman" w:cs="Times New Roman"/>
          <w:sz w:val="24"/>
          <w:szCs w:val="24"/>
          <w:lang w:val="en-US"/>
        </w:rPr>
        <w:t>The concept of “price premium” is often used in Marketing</w:t>
      </w:r>
      <w:r w:rsidR="00A9455A">
        <w:rPr>
          <w:rFonts w:ascii="Times New Roman" w:hAnsi="Times New Roman" w:cs="Times New Roman"/>
          <w:sz w:val="24"/>
          <w:szCs w:val="24"/>
          <w:lang w:val="en-US"/>
        </w:rPr>
        <w:t xml:space="preserve">, meaning </w:t>
      </w:r>
      <w:r w:rsidR="00647CB1" w:rsidRPr="00647CB1">
        <w:rPr>
          <w:rFonts w:ascii="Times New Roman" w:hAnsi="Times New Roman" w:cs="Times New Roman"/>
          <w:sz w:val="24"/>
          <w:szCs w:val="24"/>
          <w:lang w:val="en-US"/>
        </w:rPr>
        <w:t>customers</w:t>
      </w:r>
      <w:r w:rsidR="00647CB1">
        <w:rPr>
          <w:rFonts w:ascii="Times New Roman" w:hAnsi="Times New Roman" w:cs="Times New Roman"/>
          <w:sz w:val="24"/>
          <w:szCs w:val="24"/>
          <w:lang w:val="en-US"/>
        </w:rPr>
        <w:t xml:space="preserve"> </w:t>
      </w:r>
      <w:r w:rsidR="00647CB1" w:rsidRPr="00647CB1">
        <w:rPr>
          <w:rFonts w:ascii="Times New Roman" w:hAnsi="Times New Roman" w:cs="Times New Roman"/>
          <w:sz w:val="24"/>
          <w:szCs w:val="24"/>
          <w:lang w:val="en-US"/>
        </w:rPr>
        <w:t xml:space="preserve">willingness to pay </w:t>
      </w:r>
      <w:r w:rsidR="005C74D3">
        <w:rPr>
          <w:rFonts w:ascii="Times New Roman" w:hAnsi="Times New Roman" w:cs="Times New Roman"/>
          <w:sz w:val="24"/>
          <w:szCs w:val="24"/>
          <w:lang w:val="en-US"/>
        </w:rPr>
        <w:t xml:space="preserve">an extra price </w:t>
      </w:r>
      <w:r w:rsidR="00647CB1" w:rsidRPr="00647CB1">
        <w:rPr>
          <w:rFonts w:ascii="Times New Roman" w:hAnsi="Times New Roman" w:cs="Times New Roman"/>
          <w:sz w:val="24"/>
          <w:szCs w:val="24"/>
          <w:lang w:val="en-US"/>
        </w:rPr>
        <w:t>for products or services from a brand compared to</w:t>
      </w:r>
      <w:r w:rsidR="00647CB1">
        <w:rPr>
          <w:rFonts w:ascii="Times New Roman" w:hAnsi="Times New Roman" w:cs="Times New Roman"/>
          <w:sz w:val="24"/>
          <w:szCs w:val="24"/>
          <w:lang w:val="en-US"/>
        </w:rPr>
        <w:t xml:space="preserve"> </w:t>
      </w:r>
      <w:r w:rsidR="00647CB1" w:rsidRPr="00647CB1">
        <w:rPr>
          <w:rFonts w:ascii="Times New Roman" w:hAnsi="Times New Roman" w:cs="Times New Roman"/>
          <w:sz w:val="24"/>
          <w:szCs w:val="24"/>
          <w:lang w:val="en-US"/>
        </w:rPr>
        <w:t>similar products or services from other relevant brands</w:t>
      </w:r>
      <w:r w:rsidR="005C74D3">
        <w:rPr>
          <w:rFonts w:ascii="Times New Roman" w:hAnsi="Times New Roman" w:cs="Times New Roman"/>
          <w:sz w:val="24"/>
          <w:szCs w:val="24"/>
          <w:lang w:val="en-US"/>
        </w:rPr>
        <w:t xml:space="preserve"> (</w:t>
      </w:r>
      <w:proofErr w:type="spellStart"/>
      <w:r w:rsidR="005C74D3">
        <w:rPr>
          <w:rFonts w:ascii="Times New Roman" w:hAnsi="Times New Roman" w:cs="Times New Roman"/>
          <w:sz w:val="24"/>
          <w:szCs w:val="24"/>
          <w:lang w:val="en-US"/>
        </w:rPr>
        <w:t>Sch</w:t>
      </w:r>
      <w:r w:rsidR="00E065D0">
        <w:rPr>
          <w:rFonts w:ascii="Times New Roman" w:hAnsi="Times New Roman" w:cs="Times New Roman"/>
          <w:sz w:val="24"/>
          <w:szCs w:val="24"/>
          <w:lang w:val="en-US"/>
        </w:rPr>
        <w:t>ä</w:t>
      </w:r>
      <w:r w:rsidR="005C74D3">
        <w:rPr>
          <w:rFonts w:ascii="Times New Roman" w:hAnsi="Times New Roman" w:cs="Times New Roman"/>
          <w:sz w:val="24"/>
          <w:szCs w:val="24"/>
          <w:lang w:val="en-US"/>
        </w:rPr>
        <w:t>ufelle</w:t>
      </w:r>
      <w:proofErr w:type="spellEnd"/>
      <w:r w:rsidR="005C74D3">
        <w:rPr>
          <w:rFonts w:ascii="Times New Roman" w:hAnsi="Times New Roman" w:cs="Times New Roman"/>
          <w:sz w:val="24"/>
          <w:szCs w:val="24"/>
          <w:lang w:val="en-US"/>
        </w:rPr>
        <w:t xml:space="preserve"> and Hamm, 2017</w:t>
      </w:r>
      <w:r w:rsidR="005C74D3" w:rsidRPr="00284794">
        <w:rPr>
          <w:rFonts w:ascii="Times New Roman" w:hAnsi="Times New Roman" w:cs="Times New Roman"/>
          <w:sz w:val="24"/>
          <w:szCs w:val="24"/>
          <w:lang w:val="en-US"/>
        </w:rPr>
        <w:t>)</w:t>
      </w:r>
      <w:r w:rsidR="00647CB1">
        <w:rPr>
          <w:rFonts w:ascii="Times New Roman" w:hAnsi="Times New Roman" w:cs="Times New Roman"/>
          <w:sz w:val="24"/>
          <w:szCs w:val="24"/>
          <w:lang w:val="en-US"/>
        </w:rPr>
        <w:t xml:space="preserve">. </w:t>
      </w:r>
      <w:r w:rsidR="002E079D">
        <w:rPr>
          <w:rFonts w:ascii="Times New Roman" w:hAnsi="Times New Roman" w:cs="Times New Roman"/>
          <w:sz w:val="24"/>
          <w:szCs w:val="24"/>
          <w:lang w:val="en-US"/>
        </w:rPr>
        <w:t xml:space="preserve">Also, </w:t>
      </w:r>
      <w:r w:rsidR="00647CB1">
        <w:rPr>
          <w:rFonts w:ascii="Times New Roman" w:hAnsi="Times New Roman" w:cs="Times New Roman"/>
          <w:sz w:val="24"/>
          <w:szCs w:val="24"/>
          <w:lang w:val="en-US"/>
        </w:rPr>
        <w:t xml:space="preserve">firms can </w:t>
      </w:r>
      <w:r w:rsidR="00284794" w:rsidRPr="00284794">
        <w:rPr>
          <w:rFonts w:ascii="Times New Roman" w:hAnsi="Times New Roman" w:cs="Times New Roman"/>
          <w:sz w:val="24"/>
          <w:szCs w:val="24"/>
          <w:lang w:val="en-US"/>
        </w:rPr>
        <w:t>reduce costs</w:t>
      </w:r>
      <w:r w:rsidR="00284794">
        <w:rPr>
          <w:rFonts w:ascii="Times New Roman" w:hAnsi="Times New Roman" w:cs="Times New Roman"/>
          <w:sz w:val="24"/>
          <w:szCs w:val="24"/>
          <w:lang w:val="en-US"/>
        </w:rPr>
        <w:t xml:space="preserve"> because </w:t>
      </w:r>
      <w:r w:rsidR="00284794" w:rsidRPr="00284794">
        <w:rPr>
          <w:rFonts w:ascii="Times New Roman" w:hAnsi="Times New Roman" w:cs="Times New Roman"/>
          <w:sz w:val="24"/>
          <w:szCs w:val="24"/>
          <w:lang w:val="en-US"/>
        </w:rPr>
        <w:t>increased sustainability reduces waste in production processes</w:t>
      </w:r>
      <w:r w:rsidR="00284794">
        <w:rPr>
          <w:rFonts w:ascii="Times New Roman" w:hAnsi="Times New Roman" w:cs="Times New Roman"/>
          <w:sz w:val="24"/>
          <w:szCs w:val="24"/>
          <w:lang w:val="en-US"/>
        </w:rPr>
        <w:t xml:space="preserve">, and also because </w:t>
      </w:r>
      <w:r w:rsidR="00284794" w:rsidRPr="00284794">
        <w:rPr>
          <w:rFonts w:ascii="Times New Roman" w:hAnsi="Times New Roman" w:cs="Times New Roman"/>
          <w:sz w:val="24"/>
          <w:szCs w:val="24"/>
          <w:lang w:val="en-US"/>
        </w:rPr>
        <w:t xml:space="preserve">focal firms can spread the cost of </w:t>
      </w:r>
      <w:r w:rsidR="00284794">
        <w:rPr>
          <w:rFonts w:ascii="Times New Roman" w:hAnsi="Times New Roman" w:cs="Times New Roman"/>
          <w:sz w:val="24"/>
          <w:szCs w:val="24"/>
          <w:lang w:val="en-US"/>
        </w:rPr>
        <w:t>sustainability initiatives</w:t>
      </w:r>
      <w:r w:rsidR="00284794" w:rsidRPr="00284794">
        <w:rPr>
          <w:rFonts w:ascii="Times New Roman" w:hAnsi="Times New Roman" w:cs="Times New Roman"/>
          <w:sz w:val="24"/>
          <w:szCs w:val="24"/>
          <w:lang w:val="en-US"/>
        </w:rPr>
        <w:t xml:space="preserve"> across supply chain partners</w:t>
      </w:r>
      <w:r w:rsidR="00284794">
        <w:rPr>
          <w:rFonts w:ascii="Times New Roman" w:hAnsi="Times New Roman" w:cs="Times New Roman"/>
          <w:sz w:val="24"/>
          <w:szCs w:val="24"/>
          <w:lang w:val="en-US"/>
        </w:rPr>
        <w:t xml:space="preserve"> </w:t>
      </w:r>
      <w:r w:rsidR="00284794">
        <w:rPr>
          <w:rFonts w:ascii="Times New Roman" w:hAnsi="Times New Roman" w:cs="Times New Roman"/>
          <w:sz w:val="24"/>
          <w:szCs w:val="24"/>
          <w:lang w:val="en-US"/>
        </w:rPr>
        <w:t>(</w:t>
      </w:r>
      <w:proofErr w:type="spellStart"/>
      <w:r w:rsidR="00284794">
        <w:rPr>
          <w:rFonts w:ascii="Times New Roman" w:hAnsi="Times New Roman" w:cs="Times New Roman"/>
          <w:sz w:val="24"/>
          <w:szCs w:val="24"/>
          <w:lang w:val="en-US"/>
        </w:rPr>
        <w:t>Roehrich</w:t>
      </w:r>
      <w:proofErr w:type="spellEnd"/>
      <w:r w:rsidR="00284794">
        <w:rPr>
          <w:rFonts w:ascii="Times New Roman" w:hAnsi="Times New Roman" w:cs="Times New Roman"/>
          <w:sz w:val="24"/>
          <w:szCs w:val="24"/>
          <w:lang w:val="en-US"/>
        </w:rPr>
        <w:t xml:space="preserve"> et al., 2014)</w:t>
      </w:r>
      <w:r w:rsidR="00284794">
        <w:rPr>
          <w:rFonts w:ascii="Times New Roman" w:hAnsi="Times New Roman" w:cs="Times New Roman"/>
          <w:sz w:val="24"/>
          <w:szCs w:val="24"/>
          <w:lang w:val="en-US"/>
        </w:rPr>
        <w:t>.</w:t>
      </w:r>
      <w:r w:rsidR="00910043">
        <w:rPr>
          <w:rFonts w:ascii="Times New Roman" w:hAnsi="Times New Roman" w:cs="Times New Roman"/>
          <w:sz w:val="24"/>
          <w:szCs w:val="24"/>
          <w:lang w:val="en-US"/>
        </w:rPr>
        <w:t xml:space="preserve"> </w:t>
      </w:r>
      <w:r w:rsidR="000C09E1" w:rsidRPr="00873B4D">
        <w:rPr>
          <w:rFonts w:ascii="Times New Roman" w:hAnsi="Times New Roman" w:cs="Times New Roman"/>
          <w:sz w:val="24"/>
          <w:szCs w:val="24"/>
          <w:lang w:val="en-US"/>
        </w:rPr>
        <w:t xml:space="preserve">Alternatively, when the buyer firm takes a </w:t>
      </w:r>
      <w:r w:rsidR="000C09E1" w:rsidRPr="0012650C">
        <w:rPr>
          <w:rFonts w:ascii="Times New Roman" w:hAnsi="Times New Roman" w:cs="Times New Roman"/>
          <w:i/>
          <w:sz w:val="24"/>
          <w:szCs w:val="24"/>
          <w:lang w:val="en-US"/>
        </w:rPr>
        <w:t>greening</w:t>
      </w:r>
      <w:r w:rsidR="000C09E1" w:rsidRPr="00873B4D">
        <w:rPr>
          <w:rFonts w:ascii="Times New Roman" w:hAnsi="Times New Roman" w:cs="Times New Roman"/>
          <w:sz w:val="24"/>
          <w:szCs w:val="24"/>
          <w:lang w:val="en-US"/>
        </w:rPr>
        <w:t xml:space="preserve"> approach (</w:t>
      </w:r>
      <w:r w:rsidR="00536B71">
        <w:rPr>
          <w:rFonts w:ascii="Times New Roman" w:hAnsi="Times New Roman" w:cs="Times New Roman"/>
          <w:sz w:val="24"/>
          <w:szCs w:val="24"/>
          <w:lang w:val="en-US"/>
        </w:rPr>
        <w:t>i.e.,</w:t>
      </w:r>
      <w:r w:rsidR="000C09E1" w:rsidRPr="00873B4D">
        <w:rPr>
          <w:rFonts w:ascii="Times New Roman" w:hAnsi="Times New Roman" w:cs="Times New Roman"/>
          <w:sz w:val="24"/>
          <w:szCs w:val="24"/>
          <w:lang w:val="en-US"/>
        </w:rPr>
        <w:t xml:space="preserve"> </w:t>
      </w:r>
      <w:r w:rsidR="000C09E1">
        <w:rPr>
          <w:rFonts w:ascii="Times New Roman" w:hAnsi="Times New Roman" w:cs="Times New Roman"/>
          <w:sz w:val="24"/>
          <w:szCs w:val="24"/>
          <w:lang w:val="en-US"/>
        </w:rPr>
        <w:t xml:space="preserve">the </w:t>
      </w:r>
      <w:r w:rsidR="000C09E1" w:rsidRPr="00873B4D">
        <w:rPr>
          <w:rFonts w:ascii="Times New Roman" w:hAnsi="Times New Roman" w:cs="Times New Roman"/>
          <w:sz w:val="24"/>
          <w:szCs w:val="24"/>
          <w:lang w:val="en-US"/>
        </w:rPr>
        <w:t>supplier</w:t>
      </w:r>
      <w:r w:rsidR="005A2558">
        <w:rPr>
          <w:rFonts w:ascii="Times New Roman" w:hAnsi="Times New Roman" w:cs="Times New Roman"/>
          <w:sz w:val="24"/>
          <w:szCs w:val="24"/>
          <w:lang w:val="en-US"/>
        </w:rPr>
        <w:t>’s development</w:t>
      </w:r>
      <w:r w:rsidR="002B69AD">
        <w:rPr>
          <w:rFonts w:ascii="Times New Roman" w:hAnsi="Times New Roman" w:cs="Times New Roman"/>
          <w:sz w:val="24"/>
          <w:szCs w:val="24"/>
          <w:lang w:val="en-US"/>
        </w:rPr>
        <w:t>s in</w:t>
      </w:r>
      <w:r w:rsidR="000C09E1" w:rsidRPr="00873B4D">
        <w:rPr>
          <w:rFonts w:ascii="Times New Roman" w:hAnsi="Times New Roman" w:cs="Times New Roman"/>
          <w:sz w:val="24"/>
          <w:szCs w:val="24"/>
          <w:lang w:val="en-US"/>
        </w:rPr>
        <w:t xml:space="preserve"> sustainability is greater than the </w:t>
      </w:r>
      <w:r w:rsidR="00A64FDE" w:rsidRPr="00873B4D">
        <w:rPr>
          <w:rFonts w:ascii="Times New Roman" w:hAnsi="Times New Roman" w:cs="Times New Roman"/>
          <w:sz w:val="24"/>
          <w:szCs w:val="24"/>
          <w:lang w:val="en-US"/>
        </w:rPr>
        <w:t>buye</w:t>
      </w:r>
      <w:r w:rsidR="00A64FDE">
        <w:rPr>
          <w:rFonts w:ascii="Times New Roman" w:hAnsi="Times New Roman" w:cs="Times New Roman"/>
          <w:sz w:val="24"/>
          <w:szCs w:val="24"/>
          <w:lang w:val="en-US"/>
        </w:rPr>
        <w:t>r</w:t>
      </w:r>
      <w:r w:rsidR="00CB3485">
        <w:rPr>
          <w:rFonts w:ascii="Times New Roman" w:hAnsi="Times New Roman" w:cs="Times New Roman"/>
          <w:sz w:val="24"/>
          <w:szCs w:val="24"/>
          <w:lang w:val="en-US"/>
        </w:rPr>
        <w:t>’s</w:t>
      </w:r>
      <w:r w:rsidR="000C09E1" w:rsidRPr="00873B4D">
        <w:rPr>
          <w:rFonts w:ascii="Times New Roman" w:hAnsi="Times New Roman" w:cs="Times New Roman"/>
          <w:sz w:val="24"/>
          <w:szCs w:val="24"/>
          <w:lang w:val="en-US"/>
        </w:rPr>
        <w:t>), it</w:t>
      </w:r>
      <w:r w:rsidR="000C09E1" w:rsidRPr="00873B4D">
        <w:rPr>
          <w:rFonts w:ascii="Times New Roman" w:hAnsi="Times New Roman" w:cs="Times New Roman"/>
          <w:sz w:val="24"/>
          <w:szCs w:val="24"/>
          <w:lang w:val="en-GB"/>
        </w:rPr>
        <w:t xml:space="preserve"> can also indirectly obtain significant benefits from the suppliers’ </w:t>
      </w:r>
      <w:r w:rsidR="002D601A">
        <w:rPr>
          <w:rFonts w:ascii="Times New Roman" w:hAnsi="Times New Roman" w:cs="Times New Roman"/>
          <w:sz w:val="24"/>
          <w:szCs w:val="24"/>
          <w:lang w:val="en-GB"/>
        </w:rPr>
        <w:t>developments</w:t>
      </w:r>
      <w:r w:rsidR="000C09E1" w:rsidRPr="00873B4D">
        <w:rPr>
          <w:rFonts w:ascii="Times New Roman" w:hAnsi="Times New Roman" w:cs="Times New Roman"/>
          <w:sz w:val="24"/>
          <w:szCs w:val="24"/>
          <w:lang w:val="en-GB"/>
        </w:rPr>
        <w:t xml:space="preserve">. In this case, some of its </w:t>
      </w:r>
      <w:r w:rsidR="000C09E1" w:rsidRPr="00873B4D">
        <w:rPr>
          <w:rFonts w:ascii="Times New Roman" w:hAnsi="Times New Roman" w:cs="Times New Roman"/>
          <w:sz w:val="24"/>
          <w:szCs w:val="24"/>
          <w:lang w:val="en-US"/>
        </w:rPr>
        <w:t>suppliers will improve sustainability features and buy</w:t>
      </w:r>
      <w:r w:rsidR="0054490F">
        <w:rPr>
          <w:rFonts w:ascii="Times New Roman" w:hAnsi="Times New Roman" w:cs="Times New Roman"/>
          <w:sz w:val="24"/>
          <w:szCs w:val="24"/>
          <w:lang w:val="en-US"/>
        </w:rPr>
        <w:t>er</w:t>
      </w:r>
      <w:r w:rsidR="000C09E1" w:rsidRPr="00873B4D">
        <w:rPr>
          <w:rFonts w:ascii="Times New Roman" w:hAnsi="Times New Roman" w:cs="Times New Roman"/>
          <w:sz w:val="24"/>
          <w:szCs w:val="24"/>
          <w:lang w:val="en-US"/>
        </w:rPr>
        <w:t xml:space="preserve"> firms will also obtain benefits from them in </w:t>
      </w:r>
      <w:r w:rsidR="000C09E1" w:rsidRPr="00A64FDE">
        <w:rPr>
          <w:rFonts w:ascii="Times New Roman" w:hAnsi="Times New Roman" w:cs="Times New Roman"/>
          <w:sz w:val="24"/>
          <w:szCs w:val="24"/>
          <w:lang w:val="en-US"/>
        </w:rPr>
        <w:t xml:space="preserve">their final </w:t>
      </w:r>
      <w:r w:rsidR="000C09E1" w:rsidRPr="007D4216">
        <w:rPr>
          <w:rFonts w:ascii="Times New Roman" w:hAnsi="Times New Roman" w:cs="Times New Roman"/>
          <w:sz w:val="24"/>
          <w:szCs w:val="24"/>
          <w:lang w:val="en-US"/>
        </w:rPr>
        <w:t xml:space="preserve">goods, </w:t>
      </w:r>
      <w:r w:rsidR="007D4216" w:rsidRPr="007D4216">
        <w:rPr>
          <w:rFonts w:ascii="Times New Roman" w:hAnsi="Times New Roman" w:cs="Times New Roman"/>
          <w:sz w:val="24"/>
          <w:szCs w:val="24"/>
          <w:lang w:val="en-US"/>
        </w:rPr>
        <w:t xml:space="preserve">even </w:t>
      </w:r>
      <w:r w:rsidR="00536B71" w:rsidRPr="007D4216">
        <w:rPr>
          <w:rFonts w:ascii="Times New Roman" w:hAnsi="Times New Roman" w:cs="Times New Roman"/>
          <w:sz w:val="24"/>
          <w:szCs w:val="24"/>
          <w:lang w:val="en-US"/>
        </w:rPr>
        <w:t xml:space="preserve">though </w:t>
      </w:r>
      <w:r w:rsidR="000C09E1" w:rsidRPr="007D4216">
        <w:rPr>
          <w:rFonts w:ascii="Times New Roman" w:hAnsi="Times New Roman" w:cs="Times New Roman"/>
          <w:sz w:val="24"/>
          <w:szCs w:val="24"/>
          <w:lang w:val="en-US"/>
        </w:rPr>
        <w:t xml:space="preserve">they do not have to invest </w:t>
      </w:r>
      <w:r w:rsidR="00A64FDE" w:rsidRPr="007D4216">
        <w:rPr>
          <w:rFonts w:ascii="Times New Roman" w:hAnsi="Times New Roman" w:cs="Times New Roman"/>
          <w:sz w:val="24"/>
          <w:szCs w:val="24"/>
          <w:lang w:val="en-US"/>
        </w:rPr>
        <w:t xml:space="preserve">any </w:t>
      </w:r>
      <w:r w:rsidR="000C09E1" w:rsidRPr="007D4216">
        <w:rPr>
          <w:rFonts w:ascii="Times New Roman" w:hAnsi="Times New Roman" w:cs="Times New Roman"/>
          <w:sz w:val="24"/>
          <w:szCs w:val="24"/>
          <w:lang w:val="en-US"/>
        </w:rPr>
        <w:t xml:space="preserve">financial resources in </w:t>
      </w:r>
      <w:r w:rsidR="006E72B6" w:rsidRPr="007D4216">
        <w:rPr>
          <w:rFonts w:ascii="Times New Roman" w:hAnsi="Times New Roman" w:cs="Times New Roman"/>
          <w:sz w:val="24"/>
          <w:szCs w:val="24"/>
          <w:lang w:val="en-US"/>
        </w:rPr>
        <w:t xml:space="preserve">these </w:t>
      </w:r>
      <w:r w:rsidR="000C09E1" w:rsidRPr="007D4216">
        <w:rPr>
          <w:rFonts w:ascii="Times New Roman" w:hAnsi="Times New Roman" w:cs="Times New Roman"/>
          <w:sz w:val="24"/>
          <w:szCs w:val="24"/>
          <w:lang w:val="en-US"/>
        </w:rPr>
        <w:t>developments. As</w:t>
      </w:r>
      <w:r w:rsidR="000C09E1" w:rsidRPr="00873B4D">
        <w:rPr>
          <w:rFonts w:ascii="Times New Roman" w:hAnsi="Times New Roman" w:cs="Times New Roman"/>
          <w:sz w:val="24"/>
          <w:szCs w:val="24"/>
          <w:lang w:val="en-US"/>
        </w:rPr>
        <w:t xml:space="preserve"> a consequence, buyer </w:t>
      </w:r>
      <w:r w:rsidR="007D4216">
        <w:rPr>
          <w:rFonts w:ascii="Times New Roman" w:hAnsi="Times New Roman" w:cs="Times New Roman"/>
          <w:sz w:val="24"/>
          <w:szCs w:val="24"/>
          <w:lang w:val="en-US"/>
        </w:rPr>
        <w:t>financial performance may benefit from increased sales</w:t>
      </w:r>
      <w:r w:rsidR="000C09E1" w:rsidRPr="00873B4D">
        <w:rPr>
          <w:rFonts w:ascii="Times New Roman" w:hAnsi="Times New Roman" w:cs="Times New Roman"/>
          <w:sz w:val="24"/>
          <w:szCs w:val="24"/>
          <w:lang w:val="en-US"/>
        </w:rPr>
        <w:t xml:space="preserve">. </w:t>
      </w:r>
      <w:r w:rsidR="007D4216">
        <w:rPr>
          <w:rFonts w:ascii="Times New Roman" w:hAnsi="Times New Roman" w:cs="Times New Roman"/>
          <w:sz w:val="24"/>
          <w:szCs w:val="24"/>
          <w:lang w:val="en-US"/>
        </w:rPr>
        <w:t>Nevertheless</w:t>
      </w:r>
      <w:r w:rsidR="0028476F">
        <w:rPr>
          <w:rFonts w:ascii="Times New Roman" w:hAnsi="Times New Roman" w:cs="Times New Roman"/>
          <w:sz w:val="24"/>
          <w:szCs w:val="24"/>
          <w:lang w:val="en-US"/>
        </w:rPr>
        <w:t xml:space="preserve">, as buyer firms </w:t>
      </w:r>
      <w:r w:rsidR="00863B79">
        <w:rPr>
          <w:rFonts w:ascii="Times New Roman" w:hAnsi="Times New Roman" w:cs="Times New Roman"/>
          <w:sz w:val="24"/>
          <w:szCs w:val="24"/>
          <w:lang w:val="en-US"/>
        </w:rPr>
        <w:t xml:space="preserve">cannot </w:t>
      </w:r>
      <w:r w:rsidR="0028476F">
        <w:rPr>
          <w:rFonts w:ascii="Times New Roman" w:hAnsi="Times New Roman" w:cs="Times New Roman"/>
          <w:sz w:val="24"/>
          <w:szCs w:val="24"/>
          <w:lang w:val="en-US"/>
        </w:rPr>
        <w:t xml:space="preserve">be </w:t>
      </w:r>
      <w:r w:rsidR="00863B79">
        <w:rPr>
          <w:rFonts w:ascii="Times New Roman" w:hAnsi="Times New Roman" w:cs="Times New Roman"/>
          <w:sz w:val="24"/>
          <w:szCs w:val="24"/>
          <w:lang w:val="en-US"/>
        </w:rPr>
        <w:t>seen</w:t>
      </w:r>
      <w:r w:rsidR="0028476F">
        <w:rPr>
          <w:rFonts w:ascii="Times New Roman" w:hAnsi="Times New Roman" w:cs="Times New Roman"/>
          <w:sz w:val="24"/>
          <w:szCs w:val="24"/>
          <w:lang w:val="en-US"/>
        </w:rPr>
        <w:t xml:space="preserve"> as </w:t>
      </w:r>
      <w:r w:rsidR="00863B79">
        <w:rPr>
          <w:rFonts w:ascii="Times New Roman" w:hAnsi="Times New Roman" w:cs="Times New Roman"/>
          <w:sz w:val="24"/>
          <w:szCs w:val="24"/>
          <w:lang w:val="en-US"/>
        </w:rPr>
        <w:t>contributing much to</w:t>
      </w:r>
      <w:r w:rsidR="0028476F">
        <w:rPr>
          <w:rFonts w:ascii="Times New Roman" w:hAnsi="Times New Roman" w:cs="Times New Roman"/>
          <w:sz w:val="24"/>
          <w:szCs w:val="24"/>
          <w:lang w:val="en-US"/>
        </w:rPr>
        <w:t xml:space="preserve"> the </w:t>
      </w:r>
      <w:r w:rsidR="008F567D">
        <w:rPr>
          <w:rFonts w:ascii="Times New Roman" w:hAnsi="Times New Roman" w:cs="Times New Roman"/>
          <w:sz w:val="24"/>
          <w:szCs w:val="24"/>
          <w:lang w:val="en-US"/>
        </w:rPr>
        <w:t xml:space="preserve">global </w:t>
      </w:r>
      <w:r w:rsidR="00863B79">
        <w:rPr>
          <w:rFonts w:ascii="Times New Roman" w:hAnsi="Times New Roman" w:cs="Times New Roman"/>
          <w:sz w:val="24"/>
          <w:szCs w:val="24"/>
          <w:lang w:val="en-US"/>
        </w:rPr>
        <w:t>sustainability efforts of the industry</w:t>
      </w:r>
      <w:r w:rsidR="0028476F">
        <w:rPr>
          <w:rFonts w:ascii="Times New Roman" w:hAnsi="Times New Roman" w:cs="Times New Roman"/>
          <w:sz w:val="24"/>
          <w:szCs w:val="24"/>
          <w:lang w:val="en-US"/>
        </w:rPr>
        <w:t>, the market valu</w:t>
      </w:r>
      <w:r w:rsidR="0041234D">
        <w:rPr>
          <w:rFonts w:ascii="Times New Roman" w:hAnsi="Times New Roman" w:cs="Times New Roman"/>
          <w:sz w:val="24"/>
          <w:szCs w:val="24"/>
          <w:lang w:val="en-US"/>
        </w:rPr>
        <w:t>at</w:t>
      </w:r>
      <w:r w:rsidR="0028476F">
        <w:rPr>
          <w:rFonts w:ascii="Times New Roman" w:hAnsi="Times New Roman" w:cs="Times New Roman"/>
          <w:sz w:val="24"/>
          <w:szCs w:val="24"/>
          <w:lang w:val="en-US"/>
        </w:rPr>
        <w:t>ion of the company</w:t>
      </w:r>
      <w:r w:rsidR="002D601A">
        <w:rPr>
          <w:rFonts w:ascii="Times New Roman" w:hAnsi="Times New Roman" w:cs="Times New Roman"/>
          <w:sz w:val="24"/>
          <w:szCs w:val="24"/>
          <w:lang w:val="en-US"/>
        </w:rPr>
        <w:t>,</w:t>
      </w:r>
      <w:r w:rsidR="0028476F">
        <w:rPr>
          <w:rFonts w:ascii="Times New Roman" w:hAnsi="Times New Roman" w:cs="Times New Roman"/>
          <w:sz w:val="24"/>
          <w:szCs w:val="24"/>
          <w:lang w:val="en-US"/>
        </w:rPr>
        <w:t xml:space="preserve"> while still </w:t>
      </w:r>
      <w:r w:rsidR="00A00EEB">
        <w:rPr>
          <w:rFonts w:ascii="Times New Roman" w:hAnsi="Times New Roman" w:cs="Times New Roman"/>
          <w:sz w:val="24"/>
          <w:szCs w:val="24"/>
          <w:lang w:val="en-US"/>
        </w:rPr>
        <w:t xml:space="preserve">remain </w:t>
      </w:r>
      <w:r w:rsidR="0028476F">
        <w:rPr>
          <w:rFonts w:ascii="Times New Roman" w:hAnsi="Times New Roman" w:cs="Times New Roman"/>
          <w:sz w:val="24"/>
          <w:szCs w:val="24"/>
          <w:lang w:val="en-US"/>
        </w:rPr>
        <w:t xml:space="preserve">positive, may not increase significantly as in the case of </w:t>
      </w:r>
      <w:r w:rsidR="002D601A">
        <w:rPr>
          <w:rFonts w:ascii="Times New Roman" w:hAnsi="Times New Roman" w:cs="Times New Roman"/>
          <w:sz w:val="24"/>
          <w:szCs w:val="24"/>
          <w:lang w:val="en-US"/>
        </w:rPr>
        <w:t xml:space="preserve">the </w:t>
      </w:r>
      <w:r w:rsidR="0028476F">
        <w:rPr>
          <w:rFonts w:ascii="Times New Roman" w:hAnsi="Times New Roman" w:cs="Times New Roman"/>
          <w:sz w:val="24"/>
          <w:szCs w:val="24"/>
          <w:lang w:val="en-US"/>
        </w:rPr>
        <w:t>leading approach.</w:t>
      </w:r>
    </w:p>
    <w:p w14:paraId="18E0C752" w14:textId="5EDEFC52" w:rsidR="000C09E1" w:rsidRDefault="008F04E6" w:rsidP="008F5BFB">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Alternatively, s</w:t>
      </w:r>
      <w:r w:rsidR="000C09E1" w:rsidRPr="002404D9">
        <w:rPr>
          <w:rFonts w:ascii="Times New Roman" w:hAnsi="Times New Roman" w:cs="Times New Roman"/>
          <w:sz w:val="24"/>
          <w:szCs w:val="24"/>
          <w:lang w:val="en-US"/>
        </w:rPr>
        <w:t xml:space="preserve">ustainability asymmetries may have a </w:t>
      </w:r>
      <w:r w:rsidR="000C09E1" w:rsidRPr="00E41B4F">
        <w:rPr>
          <w:rFonts w:ascii="Times New Roman" w:hAnsi="Times New Roman" w:cs="Times New Roman"/>
          <w:i/>
          <w:sz w:val="24"/>
          <w:szCs w:val="24"/>
          <w:lang w:val="en-US"/>
        </w:rPr>
        <w:t>negative</w:t>
      </w:r>
      <w:r w:rsidR="000C09E1" w:rsidRPr="002404D9">
        <w:rPr>
          <w:rFonts w:ascii="Times New Roman" w:hAnsi="Times New Roman" w:cs="Times New Roman"/>
          <w:sz w:val="24"/>
          <w:szCs w:val="24"/>
          <w:lang w:val="en-US"/>
        </w:rPr>
        <w:t xml:space="preserve"> effect on </w:t>
      </w:r>
      <w:r w:rsidR="007A42D7">
        <w:rPr>
          <w:rFonts w:ascii="Times New Roman" w:hAnsi="Times New Roman" w:cs="Times New Roman"/>
          <w:sz w:val="24"/>
          <w:szCs w:val="24"/>
          <w:lang w:val="en-US"/>
        </w:rPr>
        <w:t xml:space="preserve">the </w:t>
      </w:r>
      <w:r w:rsidR="000306AD" w:rsidRPr="002404D9">
        <w:rPr>
          <w:rFonts w:ascii="Times New Roman" w:hAnsi="Times New Roman" w:cs="Times New Roman"/>
          <w:sz w:val="24"/>
          <w:szCs w:val="24"/>
          <w:lang w:val="en-US"/>
        </w:rPr>
        <w:t>buyer</w:t>
      </w:r>
      <w:r w:rsidR="007A42D7">
        <w:rPr>
          <w:rFonts w:ascii="Times New Roman" w:hAnsi="Times New Roman" w:cs="Times New Roman"/>
          <w:sz w:val="24"/>
          <w:szCs w:val="24"/>
          <w:lang w:val="en-US"/>
        </w:rPr>
        <w:t xml:space="preserve">’s financial and market </w:t>
      </w:r>
      <w:r w:rsidR="000C09E1" w:rsidRPr="004725B6">
        <w:rPr>
          <w:rFonts w:ascii="Times New Roman" w:hAnsi="Times New Roman" w:cs="Times New Roman"/>
          <w:sz w:val="24"/>
          <w:szCs w:val="24"/>
          <w:lang w:val="en-US"/>
        </w:rPr>
        <w:t xml:space="preserve">performance. </w:t>
      </w:r>
      <w:r w:rsidR="000C09E1" w:rsidRPr="00873B4D">
        <w:rPr>
          <w:rFonts w:ascii="Times New Roman" w:hAnsi="Times New Roman" w:cs="Times New Roman"/>
          <w:sz w:val="24"/>
          <w:szCs w:val="24"/>
          <w:lang w:val="en-US"/>
        </w:rPr>
        <w:t xml:space="preserve">A key characteristic of sustainability issues is that their effectiveness often depends on the interaction of several parties in a supply chain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Blome</w:t>
      </w:r>
      <w:proofErr w:type="spellEnd"/>
      <w:r w:rsidR="00F3370E" w:rsidRPr="007A6E4B">
        <w:rPr>
          <w:rFonts w:ascii="Times New Roman" w:hAnsi="Times New Roman" w:cs="Times New Roman"/>
          <w:sz w:val="24"/>
          <w:lang w:val="en-US"/>
        </w:rPr>
        <w:t xml:space="preserve"> et al., 2014)</w:t>
      </w:r>
      <w:r w:rsidR="000C09E1" w:rsidRPr="00873B4D">
        <w:rPr>
          <w:rFonts w:ascii="Times New Roman" w:hAnsi="Times New Roman" w:cs="Times New Roman"/>
          <w:sz w:val="24"/>
          <w:szCs w:val="24"/>
          <w:lang w:val="en-US"/>
        </w:rPr>
        <w:t xml:space="preserve">. Indeed, sustainability initiatives often involve collaboration between </w:t>
      </w:r>
      <w:r w:rsidR="009F0C91">
        <w:rPr>
          <w:rFonts w:ascii="Times New Roman" w:hAnsi="Times New Roman" w:cs="Times New Roman"/>
          <w:sz w:val="24"/>
          <w:szCs w:val="24"/>
          <w:lang w:val="en-US"/>
        </w:rPr>
        <w:t xml:space="preserve">the </w:t>
      </w:r>
      <w:r w:rsidR="000C09E1" w:rsidRPr="00873B4D">
        <w:rPr>
          <w:rFonts w:ascii="Times New Roman" w:hAnsi="Times New Roman" w:cs="Times New Roman"/>
          <w:sz w:val="24"/>
          <w:szCs w:val="24"/>
          <w:lang w:val="en-US"/>
        </w:rPr>
        <w:t>buyer and supplier (</w:t>
      </w:r>
      <w:r w:rsidR="009F0C91">
        <w:rPr>
          <w:rFonts w:ascii="Times New Roman" w:hAnsi="Times New Roman" w:cs="Times New Roman"/>
          <w:sz w:val="24"/>
          <w:szCs w:val="24"/>
          <w:lang w:val="en-US"/>
        </w:rPr>
        <w:t>e.g.,</w:t>
      </w:r>
      <w:r w:rsidR="000C09E1" w:rsidRPr="00873B4D">
        <w:rPr>
          <w:rFonts w:ascii="Times New Roman" w:hAnsi="Times New Roman" w:cs="Times New Roman"/>
          <w:sz w:val="24"/>
          <w:szCs w:val="24"/>
          <w:lang w:val="en-US"/>
        </w:rPr>
        <w:t xml:space="preserve"> by exchanging technical information, establishing joint teams, working on common goals, etc</w:t>
      </w:r>
      <w:r w:rsidR="009F0C91">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and the lack of collaboration and trust may decrease the sustainability features of the final goods</w:t>
      </w:r>
      <w:r w:rsidR="008014EF">
        <w:rPr>
          <w:rFonts w:ascii="Times New Roman" w:hAnsi="Times New Roman" w:cs="Times New Roman"/>
          <w:sz w:val="24"/>
          <w:szCs w:val="24"/>
          <w:lang w:val="en-US"/>
        </w:rPr>
        <w:t xml:space="preserve"> </w:t>
      </w:r>
      <w:r w:rsidR="00F3370E" w:rsidRPr="007A6E4B">
        <w:rPr>
          <w:rFonts w:ascii="Times New Roman" w:hAnsi="Times New Roman" w:cs="Times New Roman"/>
          <w:sz w:val="24"/>
          <w:lang w:val="en-US"/>
        </w:rPr>
        <w:t>(</w:t>
      </w:r>
      <w:r w:rsidR="001C534F">
        <w:rPr>
          <w:rFonts w:ascii="Times New Roman" w:hAnsi="Times New Roman" w:cs="Times New Roman"/>
          <w:sz w:val="24"/>
          <w:lang w:val="en-US"/>
        </w:rPr>
        <w:t>Brockhaus et al., 2019</w:t>
      </w:r>
      <w:r w:rsidR="00F3370E" w:rsidRPr="007A6E4B">
        <w:rPr>
          <w:rFonts w:ascii="Times New Roman" w:hAnsi="Times New Roman" w:cs="Times New Roman"/>
          <w:sz w:val="24"/>
          <w:lang w:val="en-US"/>
        </w:rPr>
        <w:t>)</w:t>
      </w:r>
      <w:r w:rsidR="000C09E1" w:rsidRPr="00873B4D">
        <w:rPr>
          <w:rFonts w:ascii="Times New Roman" w:hAnsi="Times New Roman" w:cs="Times New Roman"/>
          <w:sz w:val="24"/>
          <w:szCs w:val="24"/>
          <w:lang w:val="en-US"/>
        </w:rPr>
        <w:t xml:space="preserve">. </w:t>
      </w:r>
      <w:r w:rsidR="00822503" w:rsidRPr="00822503">
        <w:rPr>
          <w:rFonts w:ascii="Times New Roman" w:hAnsi="Times New Roman" w:cs="Times New Roman"/>
          <w:sz w:val="24"/>
          <w:szCs w:val="24"/>
          <w:lang w:val="en-US"/>
        </w:rPr>
        <w:t xml:space="preserve">In addition, </w:t>
      </w:r>
      <w:proofErr w:type="spellStart"/>
      <w:r w:rsidR="00822503" w:rsidRPr="00822503">
        <w:rPr>
          <w:rFonts w:ascii="Times New Roman" w:hAnsi="Times New Roman" w:cs="Times New Roman"/>
          <w:sz w:val="24"/>
          <w:szCs w:val="24"/>
          <w:lang w:val="en-US"/>
        </w:rPr>
        <w:t>Blome</w:t>
      </w:r>
      <w:proofErr w:type="spellEnd"/>
      <w:r w:rsidR="00822503" w:rsidRPr="00822503">
        <w:rPr>
          <w:rFonts w:ascii="Times New Roman" w:hAnsi="Times New Roman" w:cs="Times New Roman"/>
          <w:sz w:val="24"/>
          <w:szCs w:val="24"/>
          <w:lang w:val="en-US"/>
        </w:rPr>
        <w:t xml:space="preserve"> et </w:t>
      </w:r>
      <w:r w:rsidR="00822503" w:rsidRPr="00822503">
        <w:rPr>
          <w:rFonts w:ascii="Times New Roman" w:hAnsi="Times New Roman" w:cs="Times New Roman"/>
          <w:sz w:val="24"/>
          <w:szCs w:val="24"/>
          <w:lang w:val="en-US"/>
        </w:rPr>
        <w:lastRenderedPageBreak/>
        <w:t>al. (201</w:t>
      </w:r>
      <w:r w:rsidR="00C36BCA">
        <w:rPr>
          <w:rFonts w:ascii="Times New Roman" w:hAnsi="Times New Roman" w:cs="Times New Roman"/>
          <w:sz w:val="24"/>
          <w:szCs w:val="24"/>
          <w:lang w:val="en-US"/>
        </w:rPr>
        <w:t>4</w:t>
      </w:r>
      <w:r w:rsidR="00822503" w:rsidRPr="00822503">
        <w:rPr>
          <w:rFonts w:ascii="Times New Roman" w:hAnsi="Times New Roman" w:cs="Times New Roman"/>
          <w:sz w:val="24"/>
          <w:szCs w:val="24"/>
          <w:lang w:val="en-US"/>
        </w:rPr>
        <w:t xml:space="preserve">) argue that firms who are not aligned with suppliers might find lower investments in the relationship, decreasing the level of relational rents which might enable higher levels of market performance. </w:t>
      </w:r>
      <w:r w:rsidR="000C09E1" w:rsidRPr="00873B4D">
        <w:rPr>
          <w:rFonts w:ascii="Times New Roman" w:hAnsi="Times New Roman" w:cs="Times New Roman"/>
          <w:sz w:val="24"/>
          <w:szCs w:val="24"/>
          <w:lang w:val="en-US"/>
        </w:rPr>
        <w:t xml:space="preserve">This will </w:t>
      </w:r>
      <w:r w:rsidR="00E12F6A">
        <w:rPr>
          <w:rFonts w:ascii="Times New Roman" w:hAnsi="Times New Roman" w:cs="Times New Roman"/>
          <w:sz w:val="24"/>
          <w:szCs w:val="24"/>
          <w:lang w:val="en-US"/>
        </w:rPr>
        <w:t>l</w:t>
      </w:r>
      <w:r w:rsidR="000C09E1" w:rsidRPr="00873B4D">
        <w:rPr>
          <w:rFonts w:ascii="Times New Roman" w:hAnsi="Times New Roman" w:cs="Times New Roman"/>
          <w:sz w:val="24"/>
          <w:szCs w:val="24"/>
          <w:lang w:val="en-US"/>
        </w:rPr>
        <w:t xml:space="preserve">ower </w:t>
      </w:r>
      <w:r w:rsidR="001E2327">
        <w:rPr>
          <w:rFonts w:ascii="Times New Roman" w:hAnsi="Times New Roman" w:cs="Times New Roman"/>
          <w:sz w:val="24"/>
          <w:szCs w:val="24"/>
          <w:lang w:val="en-US"/>
        </w:rPr>
        <w:t>the buyer’s financial results</w:t>
      </w:r>
      <w:r w:rsidR="000C09E1" w:rsidRPr="00873B4D">
        <w:rPr>
          <w:rFonts w:ascii="Times New Roman" w:hAnsi="Times New Roman" w:cs="Times New Roman"/>
          <w:sz w:val="24"/>
          <w:szCs w:val="24"/>
          <w:lang w:val="en-US"/>
        </w:rPr>
        <w:t xml:space="preserve">, </w:t>
      </w:r>
      <w:r w:rsidR="002D799F">
        <w:rPr>
          <w:rFonts w:ascii="Times New Roman" w:hAnsi="Times New Roman" w:cs="Times New Roman"/>
          <w:sz w:val="24"/>
          <w:szCs w:val="24"/>
          <w:lang w:val="en-US"/>
        </w:rPr>
        <w:t xml:space="preserve">for two reasons: Firstly, </w:t>
      </w:r>
      <w:r w:rsidR="000C09E1" w:rsidRPr="00873B4D">
        <w:rPr>
          <w:rFonts w:ascii="Times New Roman" w:hAnsi="Times New Roman" w:cs="Times New Roman"/>
          <w:sz w:val="24"/>
          <w:szCs w:val="24"/>
          <w:lang w:val="en-US"/>
        </w:rPr>
        <w:t xml:space="preserve">because buying firms cannot charge a </w:t>
      </w:r>
      <w:r>
        <w:rPr>
          <w:rFonts w:ascii="Times New Roman" w:hAnsi="Times New Roman" w:cs="Times New Roman"/>
          <w:sz w:val="24"/>
          <w:szCs w:val="24"/>
          <w:lang w:val="en-US"/>
        </w:rPr>
        <w:t xml:space="preserve">sustainability </w:t>
      </w:r>
      <w:r w:rsidR="000C09E1" w:rsidRPr="00873B4D">
        <w:rPr>
          <w:rFonts w:ascii="Times New Roman" w:hAnsi="Times New Roman" w:cs="Times New Roman"/>
          <w:sz w:val="24"/>
          <w:szCs w:val="24"/>
          <w:lang w:val="en-US"/>
        </w:rPr>
        <w:t>“</w:t>
      </w:r>
      <w:r>
        <w:rPr>
          <w:rFonts w:ascii="Times New Roman" w:hAnsi="Times New Roman" w:cs="Times New Roman"/>
          <w:sz w:val="24"/>
          <w:szCs w:val="24"/>
          <w:lang w:val="en-US"/>
        </w:rPr>
        <w:t xml:space="preserve">price </w:t>
      </w:r>
      <w:r w:rsidR="000C09E1" w:rsidRPr="00873B4D">
        <w:rPr>
          <w:rFonts w:ascii="Times New Roman" w:hAnsi="Times New Roman" w:cs="Times New Roman"/>
          <w:sz w:val="24"/>
          <w:szCs w:val="24"/>
          <w:lang w:val="en-US"/>
        </w:rPr>
        <w:t>premium”</w:t>
      </w:r>
      <w:r w:rsidR="00B11230">
        <w:rPr>
          <w:rFonts w:ascii="Times New Roman" w:hAnsi="Times New Roman" w:cs="Times New Roman"/>
          <w:sz w:val="24"/>
          <w:szCs w:val="24"/>
          <w:lang w:val="en-US"/>
        </w:rPr>
        <w:t xml:space="preserve"> (due to the </w:t>
      </w:r>
      <w:r w:rsidR="008C6FCD">
        <w:rPr>
          <w:rFonts w:ascii="Times New Roman" w:hAnsi="Times New Roman" w:cs="Times New Roman"/>
          <w:sz w:val="24"/>
          <w:szCs w:val="24"/>
          <w:lang w:val="en-US"/>
        </w:rPr>
        <w:t xml:space="preserve">reduced level </w:t>
      </w:r>
      <w:r w:rsidR="00B11230">
        <w:rPr>
          <w:rFonts w:ascii="Times New Roman" w:hAnsi="Times New Roman" w:cs="Times New Roman"/>
          <w:sz w:val="24"/>
          <w:szCs w:val="24"/>
          <w:lang w:val="en-US"/>
        </w:rPr>
        <w:t>of sustainability features of the final product)</w:t>
      </w:r>
      <w:r w:rsidR="008C6FCD">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therefore </w:t>
      </w:r>
      <w:r w:rsidR="000C09E1" w:rsidRPr="00873B4D">
        <w:rPr>
          <w:rFonts w:ascii="Times New Roman" w:hAnsi="Times New Roman" w:cs="Times New Roman"/>
          <w:sz w:val="24"/>
          <w:szCs w:val="24"/>
          <w:lang w:val="en-US"/>
        </w:rPr>
        <w:t xml:space="preserve">they may not recover the </w:t>
      </w:r>
      <w:r w:rsidR="00CD372A">
        <w:rPr>
          <w:rFonts w:ascii="Times New Roman" w:hAnsi="Times New Roman" w:cs="Times New Roman"/>
          <w:sz w:val="24"/>
          <w:szCs w:val="24"/>
          <w:lang w:val="en-US"/>
        </w:rPr>
        <w:t xml:space="preserve">development </w:t>
      </w:r>
      <w:r w:rsidR="000C09E1" w:rsidRPr="00873B4D">
        <w:rPr>
          <w:rFonts w:ascii="Times New Roman" w:hAnsi="Times New Roman" w:cs="Times New Roman"/>
          <w:sz w:val="24"/>
          <w:szCs w:val="24"/>
          <w:lang w:val="en-US"/>
        </w:rPr>
        <w:t>costs of investing in sustainability</w:t>
      </w:r>
      <w:r>
        <w:rPr>
          <w:rFonts w:ascii="Times New Roman" w:hAnsi="Times New Roman" w:cs="Times New Roman"/>
          <w:sz w:val="24"/>
          <w:szCs w:val="24"/>
          <w:lang w:val="en-US"/>
        </w:rPr>
        <w:t xml:space="preserve"> initiatives</w:t>
      </w:r>
      <w:r w:rsidR="002D799F">
        <w:rPr>
          <w:rFonts w:ascii="Times New Roman" w:hAnsi="Times New Roman" w:cs="Times New Roman"/>
          <w:sz w:val="24"/>
          <w:szCs w:val="24"/>
          <w:lang w:val="en-US"/>
        </w:rPr>
        <w:t>; secondly</w:t>
      </w:r>
      <w:r w:rsidR="003E2436">
        <w:rPr>
          <w:rFonts w:ascii="Times New Roman" w:hAnsi="Times New Roman" w:cs="Times New Roman"/>
          <w:sz w:val="24"/>
          <w:szCs w:val="24"/>
          <w:lang w:val="en-US"/>
        </w:rPr>
        <w:t xml:space="preserve">, </w:t>
      </w:r>
      <w:r w:rsidR="008C6FCD">
        <w:rPr>
          <w:rFonts w:ascii="Times New Roman" w:hAnsi="Times New Roman" w:cs="Times New Roman"/>
          <w:sz w:val="24"/>
          <w:szCs w:val="24"/>
          <w:lang w:val="en-US"/>
        </w:rPr>
        <w:t>sales of the final product</w:t>
      </w:r>
      <w:r w:rsidR="00BE27DA">
        <w:rPr>
          <w:rFonts w:ascii="Times New Roman" w:hAnsi="Times New Roman" w:cs="Times New Roman"/>
          <w:sz w:val="24"/>
          <w:szCs w:val="24"/>
          <w:lang w:val="en-US"/>
        </w:rPr>
        <w:t xml:space="preserve"> </w:t>
      </w:r>
      <w:r w:rsidR="003E2436">
        <w:rPr>
          <w:rFonts w:ascii="Times New Roman" w:hAnsi="Times New Roman" w:cs="Times New Roman"/>
          <w:sz w:val="24"/>
          <w:szCs w:val="24"/>
          <w:lang w:val="en-US"/>
        </w:rPr>
        <w:t>do not increase</w:t>
      </w:r>
      <w:r w:rsidR="002D799F">
        <w:rPr>
          <w:rFonts w:ascii="Times New Roman" w:hAnsi="Times New Roman" w:cs="Times New Roman"/>
          <w:sz w:val="24"/>
          <w:szCs w:val="24"/>
          <w:lang w:val="en-US"/>
        </w:rPr>
        <w:t xml:space="preserve">, </w:t>
      </w:r>
      <w:r w:rsidR="008C6FCD">
        <w:rPr>
          <w:rFonts w:ascii="Times New Roman" w:hAnsi="Times New Roman" w:cs="Times New Roman"/>
          <w:sz w:val="24"/>
          <w:szCs w:val="24"/>
          <w:lang w:val="en-US"/>
        </w:rPr>
        <w:t xml:space="preserve">also </w:t>
      </w:r>
      <w:r w:rsidR="002D799F">
        <w:rPr>
          <w:rFonts w:ascii="Times New Roman" w:hAnsi="Times New Roman" w:cs="Times New Roman"/>
          <w:sz w:val="24"/>
          <w:szCs w:val="24"/>
          <w:lang w:val="en-US"/>
        </w:rPr>
        <w:t xml:space="preserve">because of </w:t>
      </w:r>
      <w:r w:rsidR="00515434">
        <w:rPr>
          <w:rFonts w:ascii="Times New Roman" w:hAnsi="Times New Roman" w:cs="Times New Roman"/>
          <w:sz w:val="24"/>
          <w:szCs w:val="24"/>
          <w:lang w:val="en-US"/>
        </w:rPr>
        <w:t xml:space="preserve">the </w:t>
      </w:r>
      <w:r w:rsidR="008C6FCD">
        <w:rPr>
          <w:rFonts w:ascii="Times New Roman" w:hAnsi="Times New Roman" w:cs="Times New Roman"/>
          <w:sz w:val="24"/>
          <w:szCs w:val="24"/>
          <w:lang w:val="en-US"/>
        </w:rPr>
        <w:t xml:space="preserve">its </w:t>
      </w:r>
      <w:r w:rsidR="00515434">
        <w:rPr>
          <w:rFonts w:ascii="Times New Roman" w:hAnsi="Times New Roman" w:cs="Times New Roman"/>
          <w:sz w:val="24"/>
          <w:szCs w:val="24"/>
          <w:lang w:val="en-US"/>
        </w:rPr>
        <w:t>reduced sustainability features</w:t>
      </w:r>
      <w:r w:rsidR="000C09E1" w:rsidRPr="00873B4D">
        <w:rPr>
          <w:rFonts w:ascii="Times New Roman" w:hAnsi="Times New Roman" w:cs="Times New Roman"/>
          <w:sz w:val="24"/>
          <w:szCs w:val="24"/>
          <w:lang w:val="en-US"/>
        </w:rPr>
        <w:t xml:space="preserve">. Moreover, any short-term saving in terms of reduced </w:t>
      </w:r>
      <w:r w:rsidR="00CD372A">
        <w:rPr>
          <w:rFonts w:ascii="Times New Roman" w:hAnsi="Times New Roman" w:cs="Times New Roman"/>
          <w:sz w:val="24"/>
          <w:szCs w:val="24"/>
          <w:lang w:val="en-US"/>
        </w:rPr>
        <w:t xml:space="preserve">developments in </w:t>
      </w:r>
      <w:r w:rsidR="000C09E1" w:rsidRPr="00873B4D">
        <w:rPr>
          <w:rFonts w:ascii="Times New Roman" w:hAnsi="Times New Roman" w:cs="Times New Roman"/>
          <w:sz w:val="24"/>
          <w:szCs w:val="24"/>
          <w:lang w:val="en-US"/>
        </w:rPr>
        <w:t xml:space="preserve">sustainability may be jeopardized by </w:t>
      </w:r>
      <w:r w:rsidR="000C09E1">
        <w:rPr>
          <w:rFonts w:ascii="Times New Roman" w:hAnsi="Times New Roman" w:cs="Times New Roman"/>
          <w:sz w:val="24"/>
          <w:szCs w:val="24"/>
          <w:lang w:val="en-US"/>
        </w:rPr>
        <w:t xml:space="preserve">the </w:t>
      </w:r>
      <w:r w:rsidR="000C09E1" w:rsidRPr="00873B4D">
        <w:rPr>
          <w:rFonts w:ascii="Times New Roman" w:hAnsi="Times New Roman" w:cs="Times New Roman"/>
          <w:sz w:val="24"/>
          <w:szCs w:val="24"/>
          <w:lang w:val="en-US"/>
        </w:rPr>
        <w:t>long-term risks of sustainability scandals</w:t>
      </w:r>
      <w:r>
        <w:rPr>
          <w:rFonts w:ascii="Times New Roman" w:hAnsi="Times New Roman" w:cs="Times New Roman"/>
          <w:sz w:val="24"/>
          <w:szCs w:val="24"/>
          <w:lang w:val="en-US"/>
        </w:rPr>
        <w:t xml:space="preserve">. In addition, when the buyer belongs to a sensitive industry, it is even more exposed to society scrutiny and its market valuation </w:t>
      </w:r>
      <w:r w:rsidR="003E2436">
        <w:rPr>
          <w:rFonts w:ascii="Times New Roman" w:hAnsi="Times New Roman" w:cs="Times New Roman"/>
          <w:sz w:val="24"/>
          <w:szCs w:val="24"/>
          <w:lang w:val="en-US"/>
        </w:rPr>
        <w:t xml:space="preserve">can </w:t>
      </w:r>
      <w:r>
        <w:rPr>
          <w:rFonts w:ascii="Times New Roman" w:hAnsi="Times New Roman" w:cs="Times New Roman"/>
          <w:sz w:val="24"/>
          <w:szCs w:val="24"/>
          <w:lang w:val="en-US"/>
        </w:rPr>
        <w:t xml:space="preserve">be </w:t>
      </w:r>
      <w:r w:rsidR="003E2436">
        <w:rPr>
          <w:rFonts w:ascii="Times New Roman" w:hAnsi="Times New Roman" w:cs="Times New Roman"/>
          <w:sz w:val="24"/>
          <w:szCs w:val="24"/>
          <w:lang w:val="en-US"/>
        </w:rPr>
        <w:t xml:space="preserve">more </w:t>
      </w:r>
      <w:r>
        <w:rPr>
          <w:rFonts w:ascii="Times New Roman" w:hAnsi="Times New Roman" w:cs="Times New Roman"/>
          <w:sz w:val="24"/>
          <w:szCs w:val="24"/>
          <w:lang w:val="en-US"/>
        </w:rPr>
        <w:t xml:space="preserve">affected. Also, </w:t>
      </w:r>
      <w:r w:rsidR="002C7351">
        <w:rPr>
          <w:rFonts w:ascii="Times New Roman" w:hAnsi="Times New Roman" w:cs="Times New Roman"/>
          <w:sz w:val="24"/>
          <w:szCs w:val="24"/>
          <w:lang w:val="en-US"/>
        </w:rPr>
        <w:t>the presence of</w:t>
      </w:r>
      <w:r w:rsidR="00DC52DF">
        <w:rPr>
          <w:rFonts w:ascii="Times New Roman" w:hAnsi="Times New Roman" w:cs="Times New Roman"/>
          <w:sz w:val="24"/>
          <w:szCs w:val="24"/>
          <w:lang w:val="en-US"/>
        </w:rPr>
        <w:t xml:space="preserve"> a</w:t>
      </w:r>
      <w:r w:rsidR="0054490F" w:rsidRPr="00873B4D">
        <w:rPr>
          <w:rFonts w:ascii="Times New Roman" w:hAnsi="Times New Roman" w:cs="Times New Roman"/>
          <w:sz w:val="24"/>
          <w:szCs w:val="24"/>
          <w:lang w:val="en-US"/>
        </w:rPr>
        <w:t xml:space="preserve">symmetries may cause “blurred” </w:t>
      </w:r>
      <w:r w:rsidR="0054490F">
        <w:rPr>
          <w:rFonts w:ascii="Times New Roman" w:hAnsi="Times New Roman" w:cs="Times New Roman"/>
          <w:sz w:val="24"/>
          <w:szCs w:val="24"/>
          <w:lang w:val="en-US"/>
        </w:rPr>
        <w:t>responsibility</w:t>
      </w:r>
      <w:r w:rsidR="0054490F" w:rsidRPr="00873B4D">
        <w:rPr>
          <w:rFonts w:ascii="Times New Roman" w:hAnsi="Times New Roman" w:cs="Times New Roman"/>
          <w:sz w:val="24"/>
          <w:szCs w:val="24"/>
          <w:lang w:val="en-US"/>
        </w:rPr>
        <w:t xml:space="preserve"> boundaries between </w:t>
      </w:r>
      <w:r w:rsidR="0054490F">
        <w:rPr>
          <w:rFonts w:ascii="Times New Roman" w:hAnsi="Times New Roman" w:cs="Times New Roman"/>
          <w:sz w:val="24"/>
          <w:szCs w:val="24"/>
          <w:lang w:val="en-US"/>
        </w:rPr>
        <w:t xml:space="preserve">the </w:t>
      </w:r>
      <w:r w:rsidR="0054490F" w:rsidRPr="00873B4D">
        <w:rPr>
          <w:rFonts w:ascii="Times New Roman" w:hAnsi="Times New Roman" w:cs="Times New Roman"/>
          <w:sz w:val="24"/>
          <w:szCs w:val="24"/>
          <w:lang w:val="en-US"/>
        </w:rPr>
        <w:t>buy</w:t>
      </w:r>
      <w:r w:rsidR="0054490F">
        <w:rPr>
          <w:rFonts w:ascii="Times New Roman" w:hAnsi="Times New Roman" w:cs="Times New Roman"/>
          <w:sz w:val="24"/>
          <w:szCs w:val="24"/>
          <w:lang w:val="en-US"/>
        </w:rPr>
        <w:t>er</w:t>
      </w:r>
      <w:r w:rsidR="0054490F" w:rsidRPr="00873B4D">
        <w:rPr>
          <w:rFonts w:ascii="Times New Roman" w:hAnsi="Times New Roman" w:cs="Times New Roman"/>
          <w:sz w:val="24"/>
          <w:szCs w:val="24"/>
          <w:lang w:val="en-US"/>
        </w:rPr>
        <w:t xml:space="preserve"> </w:t>
      </w:r>
      <w:r w:rsidR="0054490F">
        <w:rPr>
          <w:rFonts w:ascii="Times New Roman" w:hAnsi="Times New Roman" w:cs="Times New Roman"/>
          <w:sz w:val="24"/>
          <w:szCs w:val="24"/>
          <w:lang w:val="en-US"/>
        </w:rPr>
        <w:t xml:space="preserve">firms </w:t>
      </w:r>
      <w:r w:rsidR="0054490F" w:rsidRPr="00873B4D">
        <w:rPr>
          <w:rFonts w:ascii="Times New Roman" w:hAnsi="Times New Roman" w:cs="Times New Roman"/>
          <w:sz w:val="24"/>
          <w:szCs w:val="24"/>
          <w:lang w:val="en-US"/>
        </w:rPr>
        <w:t xml:space="preserve">and </w:t>
      </w:r>
      <w:r w:rsidR="0054490F">
        <w:rPr>
          <w:rFonts w:ascii="Times New Roman" w:hAnsi="Times New Roman" w:cs="Times New Roman"/>
          <w:sz w:val="24"/>
          <w:szCs w:val="24"/>
          <w:lang w:val="en-US"/>
        </w:rPr>
        <w:t xml:space="preserve">their </w:t>
      </w:r>
      <w:r w:rsidR="0054490F" w:rsidRPr="00873B4D">
        <w:rPr>
          <w:rFonts w:ascii="Times New Roman" w:hAnsi="Times New Roman" w:cs="Times New Roman"/>
          <w:sz w:val="24"/>
          <w:szCs w:val="24"/>
          <w:lang w:val="en-US"/>
        </w:rPr>
        <w:t xml:space="preserve">suppliers </w:t>
      </w:r>
      <w:r w:rsidR="00F3370E" w:rsidRPr="007A6E4B">
        <w:rPr>
          <w:rFonts w:ascii="Times New Roman" w:hAnsi="Times New Roman" w:cs="Times New Roman"/>
          <w:sz w:val="24"/>
          <w:lang w:val="en-US"/>
        </w:rPr>
        <w:t>(</w:t>
      </w:r>
      <w:proofErr w:type="spellStart"/>
      <w:r w:rsidR="001C534F">
        <w:rPr>
          <w:rFonts w:ascii="Times New Roman" w:hAnsi="Times New Roman" w:cs="Times New Roman"/>
          <w:sz w:val="24"/>
          <w:lang w:val="en-US"/>
        </w:rPr>
        <w:t>Blome</w:t>
      </w:r>
      <w:proofErr w:type="spellEnd"/>
      <w:r w:rsidR="001C534F">
        <w:rPr>
          <w:rFonts w:ascii="Times New Roman" w:hAnsi="Times New Roman" w:cs="Times New Roman"/>
          <w:sz w:val="24"/>
          <w:lang w:val="en-US"/>
        </w:rPr>
        <w:t xml:space="preserve"> et al., 2014</w:t>
      </w:r>
      <w:r w:rsidR="00F3370E" w:rsidRPr="007A6E4B">
        <w:rPr>
          <w:rFonts w:ascii="Times New Roman" w:hAnsi="Times New Roman" w:cs="Times New Roman"/>
          <w:sz w:val="24"/>
          <w:lang w:val="en-US"/>
        </w:rPr>
        <w:t>)</w:t>
      </w:r>
      <w:r w:rsidR="0054490F" w:rsidRPr="00873B4D">
        <w:rPr>
          <w:rFonts w:ascii="Times New Roman" w:hAnsi="Times New Roman" w:cs="Times New Roman"/>
          <w:sz w:val="24"/>
          <w:szCs w:val="24"/>
          <w:lang w:val="en-US"/>
        </w:rPr>
        <w:t xml:space="preserve">, </w:t>
      </w:r>
      <w:r w:rsidR="00342B59">
        <w:rPr>
          <w:rFonts w:ascii="Times New Roman" w:hAnsi="Times New Roman" w:cs="Times New Roman"/>
          <w:sz w:val="24"/>
          <w:szCs w:val="24"/>
          <w:lang w:val="en-US"/>
        </w:rPr>
        <w:t>damaging the effectiveness of sustainability initiatives and therefore negatively affecting the firm revenues</w:t>
      </w:r>
      <w:r w:rsidR="003E2436">
        <w:rPr>
          <w:rFonts w:ascii="Times New Roman" w:hAnsi="Times New Roman" w:cs="Times New Roman"/>
          <w:sz w:val="24"/>
          <w:szCs w:val="24"/>
          <w:lang w:val="en-US"/>
        </w:rPr>
        <w:t xml:space="preserve"> and </w:t>
      </w:r>
      <w:r w:rsidR="008D1C9C">
        <w:rPr>
          <w:rFonts w:ascii="Times New Roman" w:hAnsi="Times New Roman" w:cs="Times New Roman"/>
          <w:sz w:val="24"/>
          <w:szCs w:val="24"/>
          <w:lang w:val="en-US"/>
        </w:rPr>
        <w:t xml:space="preserve">its </w:t>
      </w:r>
      <w:r w:rsidR="003E2436">
        <w:rPr>
          <w:rFonts w:ascii="Times New Roman" w:hAnsi="Times New Roman" w:cs="Times New Roman"/>
          <w:sz w:val="24"/>
          <w:szCs w:val="24"/>
          <w:lang w:val="en-US"/>
        </w:rPr>
        <w:t>market valuation</w:t>
      </w:r>
      <w:r w:rsidR="00F40967">
        <w:rPr>
          <w:rFonts w:ascii="Times New Roman" w:hAnsi="Times New Roman" w:cs="Times New Roman"/>
          <w:sz w:val="24"/>
          <w:szCs w:val="24"/>
          <w:lang w:val="en-US"/>
        </w:rPr>
        <w:t>.</w:t>
      </w:r>
      <w:r w:rsidR="0054490F">
        <w:rPr>
          <w:rFonts w:ascii="Times New Roman" w:hAnsi="Times New Roman" w:cs="Times New Roman"/>
          <w:sz w:val="24"/>
          <w:szCs w:val="24"/>
          <w:lang w:val="en-US"/>
        </w:rPr>
        <w:t xml:space="preserve"> </w:t>
      </w:r>
      <w:r w:rsidR="000C09E1" w:rsidRPr="00873B4D">
        <w:rPr>
          <w:rFonts w:ascii="Times New Roman" w:hAnsi="Times New Roman" w:cs="Times New Roman"/>
          <w:sz w:val="24"/>
          <w:szCs w:val="24"/>
          <w:lang w:val="en-US"/>
        </w:rPr>
        <w:t xml:space="preserve">Buyer performance, therefore, </w:t>
      </w:r>
      <w:r w:rsidR="00F40967">
        <w:rPr>
          <w:rFonts w:ascii="Times New Roman" w:hAnsi="Times New Roman" w:cs="Times New Roman"/>
          <w:sz w:val="24"/>
          <w:szCs w:val="24"/>
          <w:lang w:val="en-US"/>
        </w:rPr>
        <w:t xml:space="preserve">may </w:t>
      </w:r>
      <w:r w:rsidR="000C09E1" w:rsidRPr="00873B4D">
        <w:rPr>
          <w:rFonts w:ascii="Times New Roman" w:hAnsi="Times New Roman" w:cs="Times New Roman"/>
          <w:sz w:val="24"/>
          <w:szCs w:val="24"/>
          <w:lang w:val="en-US"/>
        </w:rPr>
        <w:t xml:space="preserve">decrease, but the magnitude </w:t>
      </w:r>
      <w:r w:rsidR="00F40967">
        <w:rPr>
          <w:rFonts w:ascii="Times New Roman" w:hAnsi="Times New Roman" w:cs="Times New Roman"/>
          <w:sz w:val="24"/>
          <w:szCs w:val="24"/>
          <w:lang w:val="en-US"/>
        </w:rPr>
        <w:t xml:space="preserve">of this effect will </w:t>
      </w:r>
      <w:r w:rsidR="000C09E1" w:rsidRPr="00873B4D">
        <w:rPr>
          <w:rFonts w:ascii="Times New Roman" w:hAnsi="Times New Roman" w:cs="Times New Roman"/>
          <w:sz w:val="24"/>
          <w:szCs w:val="24"/>
          <w:lang w:val="en-US"/>
        </w:rPr>
        <w:t xml:space="preserve">be significantly different, depending </w:t>
      </w:r>
      <w:r w:rsidR="000C09E1">
        <w:rPr>
          <w:rFonts w:ascii="Times New Roman" w:hAnsi="Times New Roman" w:cs="Times New Roman"/>
          <w:sz w:val="24"/>
          <w:szCs w:val="24"/>
          <w:lang w:val="en-US"/>
        </w:rPr>
        <w:t xml:space="preserve">on </w:t>
      </w:r>
      <w:r w:rsidR="000C09E1" w:rsidRPr="00873B4D">
        <w:rPr>
          <w:rFonts w:ascii="Times New Roman" w:hAnsi="Times New Roman" w:cs="Times New Roman"/>
          <w:sz w:val="24"/>
          <w:szCs w:val="24"/>
          <w:lang w:val="en-US"/>
        </w:rPr>
        <w:t xml:space="preserve">the buyer’s </w:t>
      </w:r>
      <w:r w:rsidR="002C7351">
        <w:rPr>
          <w:rFonts w:ascii="Times New Roman" w:hAnsi="Times New Roman" w:cs="Times New Roman"/>
          <w:sz w:val="24"/>
          <w:szCs w:val="24"/>
          <w:lang w:val="en-US"/>
        </w:rPr>
        <w:t xml:space="preserve">sustainability </w:t>
      </w:r>
      <w:r w:rsidR="000C09E1" w:rsidRPr="00873B4D">
        <w:rPr>
          <w:rFonts w:ascii="Times New Roman" w:hAnsi="Times New Roman" w:cs="Times New Roman"/>
          <w:sz w:val="24"/>
          <w:szCs w:val="24"/>
          <w:lang w:val="en-US"/>
        </w:rPr>
        <w:t>approach</w:t>
      </w:r>
      <w:r w:rsidR="00342B59">
        <w:rPr>
          <w:rFonts w:ascii="Times New Roman" w:hAnsi="Times New Roman" w:cs="Times New Roman"/>
          <w:sz w:val="24"/>
          <w:szCs w:val="24"/>
          <w:lang w:val="en-US"/>
        </w:rPr>
        <w:t xml:space="preserve">: </w:t>
      </w:r>
      <w:r w:rsidR="000C09E1" w:rsidRPr="00342B59">
        <w:rPr>
          <w:rFonts w:ascii="Times New Roman" w:hAnsi="Times New Roman" w:cs="Times New Roman"/>
          <w:sz w:val="24"/>
          <w:szCs w:val="24"/>
          <w:lang w:val="en-US"/>
        </w:rPr>
        <w:t xml:space="preserve">When the buyer firm takes a </w:t>
      </w:r>
      <w:r w:rsidR="000C09E1" w:rsidRPr="00342B59">
        <w:rPr>
          <w:rFonts w:ascii="Times New Roman" w:hAnsi="Times New Roman" w:cs="Times New Roman"/>
          <w:i/>
          <w:sz w:val="24"/>
          <w:szCs w:val="24"/>
          <w:lang w:val="en-US"/>
        </w:rPr>
        <w:t xml:space="preserve">leading </w:t>
      </w:r>
      <w:r w:rsidR="000C09E1" w:rsidRPr="00342B59">
        <w:rPr>
          <w:rFonts w:ascii="Times New Roman" w:hAnsi="Times New Roman" w:cs="Times New Roman"/>
          <w:sz w:val="24"/>
          <w:szCs w:val="24"/>
          <w:lang w:val="en-US"/>
        </w:rPr>
        <w:t>approach, its sustainability efforts may be ineffective</w:t>
      </w:r>
      <w:r w:rsidR="00342B59">
        <w:rPr>
          <w:rFonts w:ascii="Times New Roman" w:hAnsi="Times New Roman" w:cs="Times New Roman"/>
          <w:sz w:val="24"/>
          <w:szCs w:val="24"/>
          <w:lang w:val="en-US"/>
        </w:rPr>
        <w:t>,</w:t>
      </w:r>
      <w:r w:rsidR="000C09E1" w:rsidRPr="00342B59">
        <w:rPr>
          <w:rFonts w:ascii="Times New Roman" w:hAnsi="Times New Roman" w:cs="Times New Roman"/>
          <w:sz w:val="24"/>
          <w:szCs w:val="24"/>
          <w:lang w:val="en-US"/>
        </w:rPr>
        <w:t xml:space="preserve"> due to the</w:t>
      </w:r>
      <w:r w:rsidR="000C09E1" w:rsidRPr="00873B4D">
        <w:rPr>
          <w:rFonts w:ascii="Times New Roman" w:hAnsi="Times New Roman" w:cs="Times New Roman"/>
          <w:sz w:val="24"/>
          <w:szCs w:val="24"/>
          <w:lang w:val="en-US"/>
        </w:rPr>
        <w:t xml:space="preserve"> lack of collaboration from the supplier</w:t>
      </w:r>
      <w:r w:rsidR="00B97915">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 materializing in lower sustainability features of the </w:t>
      </w:r>
      <w:r w:rsidR="00083EC8">
        <w:rPr>
          <w:rFonts w:ascii="Times New Roman" w:hAnsi="Times New Roman" w:cs="Times New Roman"/>
          <w:sz w:val="24"/>
          <w:szCs w:val="24"/>
          <w:lang w:val="en-US"/>
        </w:rPr>
        <w:t xml:space="preserve">offered </w:t>
      </w:r>
      <w:r w:rsidR="000C09E1" w:rsidRPr="00873B4D">
        <w:rPr>
          <w:rFonts w:ascii="Times New Roman" w:hAnsi="Times New Roman" w:cs="Times New Roman"/>
          <w:sz w:val="24"/>
          <w:szCs w:val="24"/>
          <w:lang w:val="en-US"/>
        </w:rPr>
        <w:t xml:space="preserve">goods. </w:t>
      </w:r>
      <w:r w:rsidR="008F5BFB">
        <w:rPr>
          <w:rFonts w:ascii="Times New Roman" w:hAnsi="Times New Roman" w:cs="Times New Roman"/>
          <w:sz w:val="24"/>
          <w:szCs w:val="24"/>
          <w:lang w:val="en-US"/>
        </w:rPr>
        <w:t>T</w:t>
      </w:r>
      <w:r w:rsidR="00053AED" w:rsidRPr="00053AED">
        <w:rPr>
          <w:rFonts w:ascii="Times New Roman" w:hAnsi="Times New Roman" w:cs="Times New Roman"/>
          <w:sz w:val="24"/>
          <w:szCs w:val="24"/>
          <w:lang w:val="en-US"/>
        </w:rPr>
        <w:t xml:space="preserve">he implementation success of buying firms’ </w:t>
      </w:r>
      <w:r w:rsidR="00D76F6E">
        <w:rPr>
          <w:rFonts w:ascii="Times New Roman" w:hAnsi="Times New Roman" w:cs="Times New Roman"/>
          <w:sz w:val="24"/>
          <w:szCs w:val="24"/>
          <w:lang w:val="en-US"/>
        </w:rPr>
        <w:t xml:space="preserve">Sustainable Supply Chain Management (SSCCM) </w:t>
      </w:r>
      <w:r w:rsidR="00053AED" w:rsidRPr="00053AED">
        <w:rPr>
          <w:rFonts w:ascii="Times New Roman" w:hAnsi="Times New Roman" w:cs="Times New Roman"/>
          <w:sz w:val="24"/>
          <w:szCs w:val="24"/>
          <w:lang w:val="en-US"/>
        </w:rPr>
        <w:t>practices (e.g.,</w:t>
      </w:r>
      <w:r w:rsidR="008F5BFB">
        <w:rPr>
          <w:rFonts w:ascii="Times New Roman" w:hAnsi="Times New Roman" w:cs="Times New Roman"/>
          <w:sz w:val="24"/>
          <w:szCs w:val="24"/>
          <w:lang w:val="en-US"/>
        </w:rPr>
        <w:t xml:space="preserve"> </w:t>
      </w:r>
      <w:r w:rsidR="00053AED" w:rsidRPr="00053AED">
        <w:rPr>
          <w:rFonts w:ascii="Times New Roman" w:hAnsi="Times New Roman" w:cs="Times New Roman"/>
          <w:sz w:val="24"/>
          <w:szCs w:val="24"/>
          <w:lang w:val="en-US"/>
        </w:rPr>
        <w:t>projects to reduce fine dust emissions) is not only a</w:t>
      </w:r>
      <w:r w:rsidR="008F5BFB">
        <w:rPr>
          <w:rFonts w:ascii="Times New Roman" w:hAnsi="Times New Roman" w:cs="Times New Roman"/>
          <w:sz w:val="24"/>
          <w:szCs w:val="24"/>
          <w:lang w:val="en-US"/>
        </w:rPr>
        <w:t xml:space="preserve"> </w:t>
      </w:r>
      <w:r w:rsidR="00053AED" w:rsidRPr="00053AED">
        <w:rPr>
          <w:rFonts w:ascii="Times New Roman" w:hAnsi="Times New Roman" w:cs="Times New Roman"/>
          <w:sz w:val="24"/>
          <w:szCs w:val="24"/>
          <w:lang w:val="en-US"/>
        </w:rPr>
        <w:t>function of their own efforts</w:t>
      </w:r>
      <w:r w:rsidR="008F5BFB">
        <w:rPr>
          <w:rFonts w:ascii="Times New Roman" w:hAnsi="Times New Roman" w:cs="Times New Roman"/>
          <w:sz w:val="24"/>
          <w:szCs w:val="24"/>
          <w:lang w:val="en-US"/>
        </w:rPr>
        <w:t xml:space="preserve">, but it depends </w:t>
      </w:r>
      <w:r w:rsidR="00053AED" w:rsidRPr="00053AED">
        <w:rPr>
          <w:rFonts w:ascii="Times New Roman" w:hAnsi="Times New Roman" w:cs="Times New Roman"/>
          <w:sz w:val="24"/>
          <w:szCs w:val="24"/>
          <w:lang w:val="en-US"/>
        </w:rPr>
        <w:t xml:space="preserve">on </w:t>
      </w:r>
      <w:r w:rsidR="008F5BFB">
        <w:rPr>
          <w:rFonts w:ascii="Times New Roman" w:hAnsi="Times New Roman" w:cs="Times New Roman"/>
          <w:sz w:val="24"/>
          <w:szCs w:val="24"/>
          <w:lang w:val="en-US"/>
        </w:rPr>
        <w:t>the</w:t>
      </w:r>
      <w:r w:rsidR="00053AED" w:rsidRPr="00053AED">
        <w:rPr>
          <w:rFonts w:ascii="Times New Roman" w:hAnsi="Times New Roman" w:cs="Times New Roman"/>
          <w:sz w:val="24"/>
          <w:szCs w:val="24"/>
          <w:lang w:val="en-US"/>
        </w:rPr>
        <w:t xml:space="preserve"> contributions made by upstream suppliers</w:t>
      </w:r>
      <w:r w:rsidR="008F5BFB">
        <w:rPr>
          <w:rFonts w:ascii="Times New Roman" w:hAnsi="Times New Roman" w:cs="Times New Roman"/>
          <w:sz w:val="24"/>
          <w:szCs w:val="24"/>
          <w:lang w:val="en-US"/>
        </w:rPr>
        <w:t xml:space="preserve"> (</w:t>
      </w:r>
      <w:proofErr w:type="spellStart"/>
      <w:r w:rsidR="008F5BFB">
        <w:rPr>
          <w:rFonts w:ascii="Times New Roman" w:hAnsi="Times New Roman" w:cs="Times New Roman"/>
          <w:sz w:val="24"/>
          <w:szCs w:val="24"/>
          <w:lang w:val="en-US"/>
        </w:rPr>
        <w:t>Rauer</w:t>
      </w:r>
      <w:proofErr w:type="spellEnd"/>
      <w:r w:rsidR="008F5BFB">
        <w:rPr>
          <w:rFonts w:ascii="Times New Roman" w:hAnsi="Times New Roman" w:cs="Times New Roman"/>
          <w:sz w:val="24"/>
          <w:szCs w:val="24"/>
          <w:lang w:val="en-US"/>
        </w:rPr>
        <w:t xml:space="preserve"> and Kau</w:t>
      </w:r>
      <w:r w:rsidR="008F5BFB">
        <w:rPr>
          <w:rFonts w:ascii="Times New Roman" w:hAnsi="Times New Roman" w:cs="Times New Roman"/>
          <w:sz w:val="24"/>
          <w:szCs w:val="24"/>
          <w:lang w:val="en-US"/>
        </w:rPr>
        <w:t>fmann, 2015)</w:t>
      </w:r>
      <w:r w:rsidR="00053AED" w:rsidRPr="00053AED">
        <w:rPr>
          <w:rFonts w:ascii="Times New Roman" w:hAnsi="Times New Roman" w:cs="Times New Roman"/>
          <w:sz w:val="24"/>
          <w:szCs w:val="24"/>
          <w:lang w:val="en-US"/>
        </w:rPr>
        <w:t xml:space="preserve">. </w:t>
      </w:r>
      <w:r w:rsidR="000C09E1" w:rsidRPr="00873B4D">
        <w:rPr>
          <w:rFonts w:ascii="Times New Roman" w:hAnsi="Times New Roman" w:cs="Times New Roman"/>
          <w:sz w:val="24"/>
          <w:szCs w:val="24"/>
          <w:lang w:val="en-US"/>
        </w:rPr>
        <w:t xml:space="preserve">This is more likely to occur when </w:t>
      </w:r>
      <w:r w:rsidR="000C09E1">
        <w:rPr>
          <w:rFonts w:ascii="Times New Roman" w:hAnsi="Times New Roman" w:cs="Times New Roman"/>
          <w:sz w:val="24"/>
          <w:szCs w:val="24"/>
          <w:lang w:val="en-US"/>
        </w:rPr>
        <w:t xml:space="preserve">a </w:t>
      </w:r>
      <w:r w:rsidR="000C09E1" w:rsidRPr="00873B4D">
        <w:rPr>
          <w:rFonts w:ascii="Times New Roman" w:hAnsi="Times New Roman" w:cs="Times New Roman"/>
          <w:sz w:val="24"/>
          <w:szCs w:val="24"/>
          <w:lang w:val="en-US"/>
        </w:rPr>
        <w:t xml:space="preserve">sustainability initiative requires </w:t>
      </w:r>
      <w:r w:rsidR="00EC2D50">
        <w:rPr>
          <w:rFonts w:ascii="Times New Roman" w:hAnsi="Times New Roman" w:cs="Times New Roman"/>
          <w:sz w:val="24"/>
          <w:szCs w:val="24"/>
          <w:lang w:val="en-US"/>
        </w:rPr>
        <w:t xml:space="preserve">a </w:t>
      </w:r>
      <w:r w:rsidR="000C09E1">
        <w:rPr>
          <w:rFonts w:ascii="Times New Roman" w:hAnsi="Times New Roman" w:cs="Times New Roman"/>
          <w:sz w:val="24"/>
          <w:szCs w:val="24"/>
          <w:lang w:val="en-US"/>
        </w:rPr>
        <w:t>significant</w:t>
      </w:r>
      <w:r w:rsidR="000C09E1" w:rsidRPr="00873B4D">
        <w:rPr>
          <w:rFonts w:ascii="Times New Roman" w:hAnsi="Times New Roman" w:cs="Times New Roman"/>
          <w:sz w:val="24"/>
          <w:szCs w:val="24"/>
          <w:lang w:val="en-US"/>
        </w:rPr>
        <w:t xml:space="preserve"> information exchange between </w:t>
      </w:r>
      <w:r w:rsidR="00EC2D50">
        <w:rPr>
          <w:rFonts w:ascii="Times New Roman" w:hAnsi="Times New Roman" w:cs="Times New Roman"/>
          <w:sz w:val="24"/>
          <w:szCs w:val="24"/>
          <w:lang w:val="en-US"/>
        </w:rPr>
        <w:t xml:space="preserve">the </w:t>
      </w:r>
      <w:r w:rsidR="000C09E1" w:rsidRPr="00873B4D">
        <w:rPr>
          <w:rFonts w:ascii="Times New Roman" w:hAnsi="Times New Roman" w:cs="Times New Roman"/>
          <w:sz w:val="24"/>
          <w:szCs w:val="24"/>
          <w:lang w:val="en-US"/>
        </w:rPr>
        <w:t>buyer and supplier to be implemented</w:t>
      </w:r>
      <w:r w:rsidR="00436CF4">
        <w:rPr>
          <w:rFonts w:ascii="Times New Roman" w:hAnsi="Times New Roman" w:cs="Times New Roman"/>
          <w:sz w:val="24"/>
          <w:szCs w:val="24"/>
          <w:lang w:val="en-US"/>
        </w:rPr>
        <w:t xml:space="preserve"> </w:t>
      </w:r>
      <w:r w:rsidR="00F3370E" w:rsidRPr="007A6E4B">
        <w:rPr>
          <w:rFonts w:ascii="Times New Roman" w:hAnsi="Times New Roman" w:cs="Times New Roman"/>
          <w:sz w:val="24"/>
          <w:lang w:val="en-US"/>
        </w:rPr>
        <w:t>(Green et al., 2012)</w:t>
      </w:r>
      <w:r w:rsidR="000C09E1" w:rsidRPr="00873B4D">
        <w:rPr>
          <w:rFonts w:ascii="Times New Roman" w:hAnsi="Times New Roman" w:cs="Times New Roman"/>
          <w:sz w:val="24"/>
          <w:szCs w:val="24"/>
          <w:lang w:val="en-US"/>
        </w:rPr>
        <w:t>. In this case, buy</w:t>
      </w:r>
      <w:r w:rsidR="00E12F6A">
        <w:rPr>
          <w:rFonts w:ascii="Times New Roman" w:hAnsi="Times New Roman" w:cs="Times New Roman"/>
          <w:sz w:val="24"/>
          <w:szCs w:val="24"/>
          <w:lang w:val="en-US"/>
        </w:rPr>
        <w:t>er</w:t>
      </w:r>
      <w:r w:rsidR="000C09E1" w:rsidRPr="00873B4D">
        <w:rPr>
          <w:rFonts w:ascii="Times New Roman" w:hAnsi="Times New Roman" w:cs="Times New Roman"/>
          <w:sz w:val="24"/>
          <w:szCs w:val="24"/>
          <w:lang w:val="en-US"/>
        </w:rPr>
        <w:t xml:space="preserve"> firms will have a lower </w:t>
      </w:r>
      <w:r w:rsidR="002C5E40">
        <w:rPr>
          <w:rFonts w:ascii="Times New Roman" w:hAnsi="Times New Roman" w:cs="Times New Roman"/>
          <w:sz w:val="24"/>
          <w:szCs w:val="24"/>
          <w:lang w:val="en-US"/>
        </w:rPr>
        <w:t>performance</w:t>
      </w:r>
      <w:r w:rsidR="000C09E1" w:rsidRPr="00873B4D">
        <w:rPr>
          <w:rFonts w:ascii="Times New Roman" w:hAnsi="Times New Roman" w:cs="Times New Roman"/>
          <w:sz w:val="24"/>
          <w:szCs w:val="24"/>
          <w:lang w:val="en-US"/>
        </w:rPr>
        <w:t xml:space="preserve">. When the buyer firm takes a </w:t>
      </w:r>
      <w:r w:rsidR="000C09E1" w:rsidRPr="0012650C">
        <w:rPr>
          <w:rFonts w:ascii="Times New Roman" w:hAnsi="Times New Roman" w:cs="Times New Roman"/>
          <w:i/>
          <w:sz w:val="24"/>
          <w:szCs w:val="24"/>
          <w:lang w:val="en-US"/>
        </w:rPr>
        <w:t>greening</w:t>
      </w:r>
      <w:r w:rsidR="000C09E1" w:rsidRPr="00873B4D">
        <w:rPr>
          <w:rFonts w:ascii="Times New Roman" w:hAnsi="Times New Roman" w:cs="Times New Roman"/>
          <w:sz w:val="24"/>
          <w:szCs w:val="24"/>
          <w:lang w:val="en-US"/>
        </w:rPr>
        <w:t xml:space="preserve"> approach, the sustainability efforts </w:t>
      </w:r>
      <w:r w:rsidR="000C09E1" w:rsidRPr="00873B4D">
        <w:rPr>
          <w:rFonts w:ascii="Times New Roman" w:hAnsi="Times New Roman" w:cs="Times New Roman"/>
          <w:sz w:val="24"/>
          <w:szCs w:val="24"/>
          <w:lang w:val="en-US"/>
        </w:rPr>
        <w:lastRenderedPageBreak/>
        <w:t>of the supplier may not lead to</w:t>
      </w:r>
      <w:r w:rsidR="00EC2D50">
        <w:rPr>
          <w:rFonts w:ascii="Times New Roman" w:hAnsi="Times New Roman" w:cs="Times New Roman"/>
          <w:sz w:val="24"/>
          <w:szCs w:val="24"/>
          <w:lang w:val="en-US"/>
        </w:rPr>
        <w:t xml:space="preserve"> an</w:t>
      </w:r>
      <w:r w:rsidR="000C09E1" w:rsidRPr="00873B4D">
        <w:rPr>
          <w:rFonts w:ascii="Times New Roman" w:hAnsi="Times New Roman" w:cs="Times New Roman"/>
          <w:sz w:val="24"/>
          <w:szCs w:val="24"/>
          <w:lang w:val="en-US"/>
        </w:rPr>
        <w:t xml:space="preserve"> </w:t>
      </w:r>
      <w:r w:rsidR="00EC2D50" w:rsidRPr="00873B4D">
        <w:rPr>
          <w:rFonts w:ascii="Times New Roman" w:hAnsi="Times New Roman" w:cs="Times New Roman"/>
          <w:sz w:val="24"/>
          <w:szCs w:val="24"/>
          <w:lang w:val="en-US"/>
        </w:rPr>
        <w:t>increas</w:t>
      </w:r>
      <w:r w:rsidR="00EC2D50">
        <w:rPr>
          <w:rFonts w:ascii="Times New Roman" w:hAnsi="Times New Roman" w:cs="Times New Roman"/>
          <w:sz w:val="24"/>
          <w:szCs w:val="24"/>
          <w:lang w:val="en-US"/>
        </w:rPr>
        <w:t>e in the</w:t>
      </w:r>
      <w:r w:rsidR="00EC2D50" w:rsidRPr="00873B4D">
        <w:rPr>
          <w:rFonts w:ascii="Times New Roman" w:hAnsi="Times New Roman" w:cs="Times New Roman"/>
          <w:sz w:val="24"/>
          <w:szCs w:val="24"/>
          <w:lang w:val="en-US"/>
        </w:rPr>
        <w:t xml:space="preserve"> </w:t>
      </w:r>
      <w:r w:rsidR="000C09E1" w:rsidRPr="00873B4D">
        <w:rPr>
          <w:rFonts w:ascii="Times New Roman" w:hAnsi="Times New Roman" w:cs="Times New Roman"/>
          <w:sz w:val="24"/>
          <w:szCs w:val="24"/>
          <w:lang w:val="en-US"/>
        </w:rPr>
        <w:t>buyer</w:t>
      </w:r>
      <w:r w:rsidR="001420E1">
        <w:rPr>
          <w:rFonts w:ascii="Times New Roman" w:hAnsi="Times New Roman" w:cs="Times New Roman"/>
          <w:sz w:val="24"/>
          <w:szCs w:val="24"/>
          <w:lang w:val="en-US"/>
        </w:rPr>
        <w:t xml:space="preserve"> profitability</w:t>
      </w:r>
      <w:r w:rsidR="000C09E1" w:rsidRPr="00873B4D">
        <w:rPr>
          <w:rFonts w:ascii="Times New Roman" w:hAnsi="Times New Roman" w:cs="Times New Roman"/>
          <w:sz w:val="24"/>
          <w:szCs w:val="24"/>
          <w:lang w:val="en-US"/>
        </w:rPr>
        <w:t xml:space="preserve">, not only due to the lack of collaboration from the </w:t>
      </w:r>
      <w:r w:rsidR="00EC2D50">
        <w:rPr>
          <w:rFonts w:ascii="Times New Roman" w:hAnsi="Times New Roman" w:cs="Times New Roman"/>
          <w:sz w:val="24"/>
          <w:szCs w:val="24"/>
          <w:lang w:val="en-US"/>
        </w:rPr>
        <w:t>buyer</w:t>
      </w:r>
      <w:r w:rsidR="009C6172">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 but also </w:t>
      </w:r>
      <w:r w:rsidR="000C09E1">
        <w:rPr>
          <w:rFonts w:ascii="Times New Roman" w:hAnsi="Times New Roman" w:cs="Times New Roman"/>
          <w:sz w:val="24"/>
          <w:szCs w:val="24"/>
          <w:lang w:val="en-US"/>
        </w:rPr>
        <w:t>because of</w:t>
      </w:r>
      <w:r w:rsidR="000C09E1" w:rsidRPr="00873B4D">
        <w:rPr>
          <w:rFonts w:ascii="Times New Roman" w:hAnsi="Times New Roman" w:cs="Times New Roman"/>
          <w:sz w:val="24"/>
          <w:szCs w:val="24"/>
          <w:lang w:val="en-US"/>
        </w:rPr>
        <w:t xml:space="preserve"> divergence from other suppliers who may not have a similar sustainability </w:t>
      </w:r>
      <w:r w:rsidR="00944C3A">
        <w:rPr>
          <w:rFonts w:ascii="Times New Roman" w:hAnsi="Times New Roman" w:cs="Times New Roman"/>
          <w:sz w:val="24"/>
          <w:szCs w:val="24"/>
          <w:lang w:val="en-US"/>
        </w:rPr>
        <w:t>profile</w:t>
      </w:r>
      <w:r w:rsidR="000C09E1" w:rsidRPr="00873B4D">
        <w:rPr>
          <w:rFonts w:ascii="Times New Roman" w:hAnsi="Times New Roman" w:cs="Times New Roman"/>
          <w:sz w:val="24"/>
          <w:szCs w:val="24"/>
          <w:lang w:val="en-US"/>
        </w:rPr>
        <w:t xml:space="preserve">. This is especially likely when </w:t>
      </w:r>
      <w:r w:rsidR="000C09E1" w:rsidRPr="008F0FD7">
        <w:rPr>
          <w:rFonts w:ascii="Times New Roman" w:hAnsi="Times New Roman" w:cs="Times New Roman"/>
          <w:sz w:val="24"/>
          <w:szCs w:val="24"/>
          <w:lang w:val="en-US"/>
        </w:rPr>
        <w:t>sustainability initiatives depend on the buyer coordinating efforts among several suppliers</w:t>
      </w:r>
      <w:r w:rsidR="008F0FD7">
        <w:rPr>
          <w:rFonts w:ascii="Times New Roman" w:hAnsi="Times New Roman" w:cs="Times New Roman"/>
          <w:sz w:val="24"/>
          <w:szCs w:val="24"/>
          <w:lang w:val="en-US"/>
        </w:rPr>
        <w:t>, or when supply chains are so fragmented that no isolated action can be effective (</w:t>
      </w:r>
      <w:r w:rsidR="00EC2D50">
        <w:rPr>
          <w:rFonts w:ascii="Times New Roman" w:hAnsi="Times New Roman" w:cs="Times New Roman"/>
          <w:sz w:val="24"/>
          <w:szCs w:val="24"/>
          <w:lang w:val="en-US"/>
        </w:rPr>
        <w:t>e.g.,</w:t>
      </w:r>
      <w:r w:rsidR="008F0FD7">
        <w:rPr>
          <w:rFonts w:ascii="Times New Roman" w:hAnsi="Times New Roman" w:cs="Times New Roman"/>
          <w:sz w:val="24"/>
          <w:szCs w:val="24"/>
          <w:lang w:val="en-US"/>
        </w:rPr>
        <w:t xml:space="preserve"> palm oil issues in the case of Starbucks)</w:t>
      </w:r>
      <w:r w:rsidR="002C5E40">
        <w:rPr>
          <w:rFonts w:ascii="Times New Roman" w:hAnsi="Times New Roman" w:cs="Times New Roman"/>
          <w:sz w:val="24"/>
          <w:szCs w:val="24"/>
          <w:lang w:val="en-US"/>
        </w:rPr>
        <w:t xml:space="preserve">, </w:t>
      </w:r>
      <w:r w:rsidR="000C575D">
        <w:rPr>
          <w:rFonts w:ascii="Times New Roman" w:hAnsi="Times New Roman" w:cs="Times New Roman"/>
          <w:sz w:val="24"/>
          <w:szCs w:val="24"/>
          <w:lang w:val="en-US"/>
        </w:rPr>
        <w:t xml:space="preserve">which greatly </w:t>
      </w:r>
      <w:r w:rsidR="002C5E40">
        <w:rPr>
          <w:rFonts w:ascii="Times New Roman" w:hAnsi="Times New Roman" w:cs="Times New Roman"/>
          <w:sz w:val="24"/>
          <w:szCs w:val="24"/>
          <w:lang w:val="en-US"/>
        </w:rPr>
        <w:t>affect</w:t>
      </w:r>
      <w:r w:rsidR="000C575D">
        <w:rPr>
          <w:rFonts w:ascii="Times New Roman" w:hAnsi="Times New Roman" w:cs="Times New Roman"/>
          <w:sz w:val="24"/>
          <w:szCs w:val="24"/>
          <w:lang w:val="en-US"/>
        </w:rPr>
        <w:t>s</w:t>
      </w:r>
      <w:r w:rsidR="002C5E40">
        <w:rPr>
          <w:rFonts w:ascii="Times New Roman" w:hAnsi="Times New Roman" w:cs="Times New Roman"/>
          <w:sz w:val="24"/>
          <w:szCs w:val="24"/>
          <w:lang w:val="en-US"/>
        </w:rPr>
        <w:t xml:space="preserve"> </w:t>
      </w:r>
      <w:r w:rsidR="00802648">
        <w:rPr>
          <w:rFonts w:ascii="Times New Roman" w:hAnsi="Times New Roman" w:cs="Times New Roman"/>
          <w:sz w:val="24"/>
          <w:szCs w:val="24"/>
          <w:lang w:val="en-US"/>
        </w:rPr>
        <w:t xml:space="preserve">the </w:t>
      </w:r>
      <w:r w:rsidR="002C5E40">
        <w:rPr>
          <w:rFonts w:ascii="Times New Roman" w:hAnsi="Times New Roman" w:cs="Times New Roman"/>
          <w:sz w:val="24"/>
          <w:szCs w:val="24"/>
          <w:lang w:val="en-US"/>
        </w:rPr>
        <w:t xml:space="preserve">legitimacy </w:t>
      </w:r>
      <w:r w:rsidR="00802648">
        <w:rPr>
          <w:rFonts w:ascii="Times New Roman" w:hAnsi="Times New Roman" w:cs="Times New Roman"/>
          <w:sz w:val="24"/>
          <w:szCs w:val="24"/>
          <w:lang w:val="en-US"/>
        </w:rPr>
        <w:t>status</w:t>
      </w:r>
      <w:r w:rsidR="000C09E1" w:rsidRPr="008F0FD7">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 In this case, the buyer may save money </w:t>
      </w:r>
      <w:r w:rsidR="009C6172">
        <w:rPr>
          <w:rFonts w:ascii="Times New Roman" w:hAnsi="Times New Roman" w:cs="Times New Roman"/>
          <w:sz w:val="24"/>
          <w:szCs w:val="24"/>
          <w:lang w:val="en-US"/>
        </w:rPr>
        <w:t xml:space="preserve">by </w:t>
      </w:r>
      <w:r w:rsidR="000C09E1" w:rsidRPr="00873B4D">
        <w:rPr>
          <w:rFonts w:ascii="Times New Roman" w:hAnsi="Times New Roman" w:cs="Times New Roman"/>
          <w:sz w:val="24"/>
          <w:szCs w:val="24"/>
          <w:lang w:val="en-US"/>
        </w:rPr>
        <w:t>not investing</w:t>
      </w:r>
      <w:r w:rsidR="009C6172">
        <w:rPr>
          <w:rFonts w:ascii="Times New Roman" w:hAnsi="Times New Roman" w:cs="Times New Roman"/>
          <w:sz w:val="24"/>
          <w:szCs w:val="24"/>
          <w:lang w:val="en-US"/>
        </w:rPr>
        <w:t xml:space="preserve"> directly</w:t>
      </w:r>
      <w:r w:rsidR="000C09E1" w:rsidRPr="00873B4D">
        <w:rPr>
          <w:rFonts w:ascii="Times New Roman" w:hAnsi="Times New Roman" w:cs="Times New Roman"/>
          <w:sz w:val="24"/>
          <w:szCs w:val="24"/>
          <w:lang w:val="en-US"/>
        </w:rPr>
        <w:t xml:space="preserve"> in </w:t>
      </w:r>
      <w:r w:rsidR="00750506">
        <w:rPr>
          <w:rFonts w:ascii="Times New Roman" w:hAnsi="Times New Roman" w:cs="Times New Roman"/>
          <w:sz w:val="24"/>
          <w:szCs w:val="24"/>
          <w:lang w:val="en-US"/>
        </w:rPr>
        <w:t>these developments</w:t>
      </w:r>
      <w:r w:rsidR="009C6172">
        <w:rPr>
          <w:rFonts w:ascii="Times New Roman" w:hAnsi="Times New Roman" w:cs="Times New Roman"/>
          <w:sz w:val="24"/>
          <w:szCs w:val="24"/>
          <w:lang w:val="en-US"/>
        </w:rPr>
        <w:t>. However</w:t>
      </w:r>
      <w:r w:rsidR="000C09E1" w:rsidRPr="00873B4D">
        <w:rPr>
          <w:rFonts w:ascii="Times New Roman" w:hAnsi="Times New Roman" w:cs="Times New Roman"/>
          <w:sz w:val="24"/>
          <w:szCs w:val="24"/>
          <w:lang w:val="en-US"/>
        </w:rPr>
        <w:t xml:space="preserve">, reduced sales </w:t>
      </w:r>
      <w:r w:rsidR="009C6172">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due to lower sustainability </w:t>
      </w:r>
      <w:r w:rsidR="00775EF7">
        <w:rPr>
          <w:rFonts w:ascii="Times New Roman" w:hAnsi="Times New Roman" w:cs="Times New Roman"/>
          <w:sz w:val="24"/>
          <w:szCs w:val="24"/>
          <w:lang w:val="en-US"/>
        </w:rPr>
        <w:t xml:space="preserve">features </w:t>
      </w:r>
      <w:r w:rsidR="000C09E1" w:rsidRPr="00873B4D">
        <w:rPr>
          <w:rFonts w:ascii="Times New Roman" w:hAnsi="Times New Roman" w:cs="Times New Roman"/>
          <w:sz w:val="24"/>
          <w:szCs w:val="24"/>
          <w:lang w:val="en-US"/>
        </w:rPr>
        <w:t>and increased risk of sustainability scandals</w:t>
      </w:r>
      <w:r w:rsidR="009C6172">
        <w:rPr>
          <w:rFonts w:ascii="Times New Roman" w:hAnsi="Times New Roman" w:cs="Times New Roman"/>
          <w:sz w:val="24"/>
          <w:szCs w:val="24"/>
          <w:lang w:val="en-US"/>
        </w:rPr>
        <w:t>)</w:t>
      </w:r>
      <w:r w:rsidR="000C09E1" w:rsidRPr="00873B4D">
        <w:rPr>
          <w:rFonts w:ascii="Times New Roman" w:hAnsi="Times New Roman" w:cs="Times New Roman"/>
          <w:sz w:val="24"/>
          <w:szCs w:val="24"/>
          <w:lang w:val="en-US"/>
        </w:rPr>
        <w:t xml:space="preserve"> can significant</w:t>
      </w:r>
      <w:r w:rsidR="000C09E1">
        <w:rPr>
          <w:rFonts w:ascii="Times New Roman" w:hAnsi="Times New Roman" w:cs="Times New Roman"/>
          <w:sz w:val="24"/>
          <w:szCs w:val="24"/>
          <w:lang w:val="en-US"/>
        </w:rPr>
        <w:t>ly</w:t>
      </w:r>
      <w:r w:rsidR="000C09E1" w:rsidRPr="00873B4D">
        <w:rPr>
          <w:rFonts w:ascii="Times New Roman" w:hAnsi="Times New Roman" w:cs="Times New Roman"/>
          <w:sz w:val="24"/>
          <w:szCs w:val="24"/>
          <w:lang w:val="en-US"/>
        </w:rPr>
        <w:t xml:space="preserve"> override these savings.</w:t>
      </w:r>
      <w:r w:rsidR="00750506">
        <w:rPr>
          <w:rFonts w:ascii="Times New Roman" w:hAnsi="Times New Roman" w:cs="Times New Roman"/>
          <w:sz w:val="24"/>
          <w:szCs w:val="24"/>
          <w:lang w:val="en-US"/>
        </w:rPr>
        <w:t xml:space="preserve"> Furthermore, </w:t>
      </w:r>
      <w:r w:rsidR="005B2438">
        <w:rPr>
          <w:rFonts w:ascii="Times New Roman" w:hAnsi="Times New Roman" w:cs="Times New Roman"/>
          <w:sz w:val="24"/>
          <w:szCs w:val="24"/>
          <w:lang w:val="en-US"/>
        </w:rPr>
        <w:t>as</w:t>
      </w:r>
      <w:r w:rsidR="00750506">
        <w:rPr>
          <w:rFonts w:ascii="Times New Roman" w:hAnsi="Times New Roman" w:cs="Times New Roman"/>
          <w:sz w:val="24"/>
          <w:szCs w:val="24"/>
          <w:lang w:val="en-US"/>
        </w:rPr>
        <w:t xml:space="preserve"> the buyer firm belong</w:t>
      </w:r>
      <w:r w:rsidR="005B2438">
        <w:rPr>
          <w:rFonts w:ascii="Times New Roman" w:hAnsi="Times New Roman" w:cs="Times New Roman"/>
          <w:sz w:val="24"/>
          <w:szCs w:val="24"/>
          <w:lang w:val="en-US"/>
        </w:rPr>
        <w:t>s</w:t>
      </w:r>
      <w:r w:rsidR="00750506">
        <w:rPr>
          <w:rFonts w:ascii="Times New Roman" w:hAnsi="Times New Roman" w:cs="Times New Roman"/>
          <w:sz w:val="24"/>
          <w:szCs w:val="24"/>
          <w:lang w:val="en-US"/>
        </w:rPr>
        <w:t xml:space="preserve"> to</w:t>
      </w:r>
      <w:r w:rsidR="005B2438">
        <w:rPr>
          <w:rFonts w:ascii="Times New Roman" w:hAnsi="Times New Roman" w:cs="Times New Roman"/>
          <w:sz w:val="24"/>
          <w:szCs w:val="24"/>
          <w:lang w:val="en-US"/>
        </w:rPr>
        <w:t xml:space="preserve"> a</w:t>
      </w:r>
      <w:r w:rsidR="00750506">
        <w:rPr>
          <w:rFonts w:ascii="Times New Roman" w:hAnsi="Times New Roman" w:cs="Times New Roman"/>
          <w:sz w:val="24"/>
          <w:szCs w:val="24"/>
          <w:lang w:val="en-US"/>
        </w:rPr>
        <w:t xml:space="preserve"> sensitive </w:t>
      </w:r>
      <w:r w:rsidR="00775EF7">
        <w:rPr>
          <w:rFonts w:ascii="Times New Roman" w:hAnsi="Times New Roman" w:cs="Times New Roman"/>
          <w:sz w:val="24"/>
          <w:szCs w:val="24"/>
          <w:lang w:val="en-US"/>
        </w:rPr>
        <w:t>industry</w:t>
      </w:r>
      <w:r w:rsidR="00750506">
        <w:rPr>
          <w:rFonts w:ascii="Times New Roman" w:hAnsi="Times New Roman" w:cs="Times New Roman"/>
          <w:sz w:val="24"/>
          <w:szCs w:val="24"/>
          <w:lang w:val="en-US"/>
        </w:rPr>
        <w:t>, this lagging behind in</w:t>
      </w:r>
      <w:r w:rsidR="005B2438">
        <w:rPr>
          <w:rFonts w:ascii="Times New Roman" w:hAnsi="Times New Roman" w:cs="Times New Roman"/>
          <w:sz w:val="24"/>
          <w:szCs w:val="24"/>
          <w:lang w:val="en-US"/>
        </w:rPr>
        <w:t xml:space="preserve"> the</w:t>
      </w:r>
      <w:r w:rsidR="00750506">
        <w:rPr>
          <w:rFonts w:ascii="Times New Roman" w:hAnsi="Times New Roman" w:cs="Times New Roman"/>
          <w:sz w:val="24"/>
          <w:szCs w:val="24"/>
          <w:lang w:val="en-US"/>
        </w:rPr>
        <w:t xml:space="preserve"> sustainability </w:t>
      </w:r>
      <w:r w:rsidR="005B2438">
        <w:rPr>
          <w:rFonts w:ascii="Times New Roman" w:hAnsi="Times New Roman" w:cs="Times New Roman"/>
          <w:sz w:val="24"/>
          <w:szCs w:val="24"/>
          <w:lang w:val="en-US"/>
        </w:rPr>
        <w:t>path</w:t>
      </w:r>
      <w:r w:rsidR="00750506">
        <w:rPr>
          <w:rFonts w:ascii="Times New Roman" w:hAnsi="Times New Roman" w:cs="Times New Roman"/>
          <w:sz w:val="24"/>
          <w:szCs w:val="24"/>
          <w:lang w:val="en-US"/>
        </w:rPr>
        <w:t xml:space="preserve"> will be perceived </w:t>
      </w:r>
      <w:r w:rsidR="00B97915">
        <w:rPr>
          <w:rFonts w:ascii="Times New Roman" w:hAnsi="Times New Roman" w:cs="Times New Roman"/>
          <w:sz w:val="24"/>
          <w:szCs w:val="24"/>
          <w:lang w:val="en-US"/>
        </w:rPr>
        <w:t xml:space="preserve">by society segments </w:t>
      </w:r>
      <w:r w:rsidR="00750506">
        <w:rPr>
          <w:rFonts w:ascii="Times New Roman" w:hAnsi="Times New Roman" w:cs="Times New Roman"/>
          <w:sz w:val="24"/>
          <w:szCs w:val="24"/>
          <w:lang w:val="en-US"/>
        </w:rPr>
        <w:t xml:space="preserve">in a more </w:t>
      </w:r>
      <w:r w:rsidR="005356EC">
        <w:rPr>
          <w:rFonts w:ascii="Times New Roman" w:hAnsi="Times New Roman" w:cs="Times New Roman"/>
          <w:sz w:val="24"/>
          <w:szCs w:val="24"/>
          <w:lang w:val="en-US"/>
        </w:rPr>
        <w:t>negative</w:t>
      </w:r>
      <w:r w:rsidR="00750506">
        <w:rPr>
          <w:rFonts w:ascii="Times New Roman" w:hAnsi="Times New Roman" w:cs="Times New Roman"/>
          <w:sz w:val="24"/>
          <w:szCs w:val="24"/>
          <w:lang w:val="en-US"/>
        </w:rPr>
        <w:t xml:space="preserve"> </w:t>
      </w:r>
      <w:r w:rsidR="00342B59">
        <w:rPr>
          <w:rFonts w:ascii="Times New Roman" w:hAnsi="Times New Roman" w:cs="Times New Roman"/>
          <w:sz w:val="24"/>
          <w:szCs w:val="24"/>
          <w:lang w:val="en-US"/>
        </w:rPr>
        <w:t>way</w:t>
      </w:r>
      <w:r w:rsidR="00C22C35">
        <w:rPr>
          <w:rFonts w:ascii="Times New Roman" w:hAnsi="Times New Roman" w:cs="Times New Roman"/>
          <w:sz w:val="24"/>
          <w:szCs w:val="24"/>
          <w:lang w:val="en-US"/>
        </w:rPr>
        <w:t xml:space="preserve">. Therefore, </w:t>
      </w:r>
      <w:r w:rsidR="009C6172">
        <w:rPr>
          <w:rFonts w:ascii="Times New Roman" w:hAnsi="Times New Roman" w:cs="Times New Roman"/>
          <w:sz w:val="24"/>
          <w:szCs w:val="24"/>
          <w:lang w:val="en-US"/>
        </w:rPr>
        <w:t xml:space="preserve">the </w:t>
      </w:r>
      <w:r w:rsidR="000055F2">
        <w:rPr>
          <w:rFonts w:ascii="Times New Roman" w:hAnsi="Times New Roman" w:cs="Times New Roman"/>
          <w:sz w:val="24"/>
          <w:szCs w:val="24"/>
          <w:lang w:val="en-US"/>
        </w:rPr>
        <w:t>buyer</w:t>
      </w:r>
      <w:r w:rsidR="00C22C35">
        <w:rPr>
          <w:rFonts w:ascii="Times New Roman" w:hAnsi="Times New Roman" w:cs="Times New Roman"/>
          <w:sz w:val="24"/>
          <w:szCs w:val="24"/>
          <w:lang w:val="en-US"/>
        </w:rPr>
        <w:t xml:space="preserve"> firm will have a </w:t>
      </w:r>
      <w:r w:rsidR="004D517D">
        <w:rPr>
          <w:rFonts w:ascii="Times New Roman" w:hAnsi="Times New Roman" w:cs="Times New Roman"/>
          <w:sz w:val="24"/>
          <w:szCs w:val="24"/>
          <w:lang w:val="en-US"/>
        </w:rPr>
        <w:t xml:space="preserve">significant </w:t>
      </w:r>
      <w:r w:rsidR="004D517D" w:rsidRPr="00873B4D">
        <w:rPr>
          <w:rFonts w:ascii="Times New Roman" w:hAnsi="Times New Roman" w:cs="Times New Roman"/>
          <w:sz w:val="24"/>
          <w:szCs w:val="24"/>
          <w:lang w:val="en-US"/>
        </w:rPr>
        <w:t>deteriorat</w:t>
      </w:r>
      <w:r w:rsidR="00C22C35">
        <w:rPr>
          <w:rFonts w:ascii="Times New Roman" w:hAnsi="Times New Roman" w:cs="Times New Roman"/>
          <w:sz w:val="24"/>
          <w:szCs w:val="24"/>
          <w:lang w:val="en-US"/>
        </w:rPr>
        <w:t>ion of</w:t>
      </w:r>
      <w:r w:rsidR="004D517D">
        <w:rPr>
          <w:rFonts w:ascii="Times New Roman" w:hAnsi="Times New Roman" w:cs="Times New Roman"/>
          <w:sz w:val="24"/>
          <w:szCs w:val="24"/>
          <w:lang w:val="en-US"/>
        </w:rPr>
        <w:t xml:space="preserve"> the legitimacy status</w:t>
      </w:r>
      <w:r w:rsidR="009C6172">
        <w:rPr>
          <w:rFonts w:ascii="Times New Roman" w:hAnsi="Times New Roman" w:cs="Times New Roman"/>
          <w:sz w:val="24"/>
          <w:szCs w:val="24"/>
          <w:lang w:val="en-US"/>
        </w:rPr>
        <w:t>,</w:t>
      </w:r>
      <w:r w:rsidR="004D517D">
        <w:rPr>
          <w:rFonts w:ascii="Times New Roman" w:hAnsi="Times New Roman" w:cs="Times New Roman"/>
          <w:sz w:val="24"/>
          <w:szCs w:val="24"/>
          <w:lang w:val="en-US"/>
        </w:rPr>
        <w:t xml:space="preserve"> </w:t>
      </w:r>
      <w:r w:rsidR="00EC2D50">
        <w:rPr>
          <w:rFonts w:ascii="Times New Roman" w:hAnsi="Times New Roman" w:cs="Times New Roman"/>
          <w:sz w:val="24"/>
          <w:szCs w:val="24"/>
          <w:lang w:val="en-US"/>
        </w:rPr>
        <w:t xml:space="preserve">compared to </w:t>
      </w:r>
      <w:r w:rsidR="004D517D">
        <w:rPr>
          <w:rFonts w:ascii="Times New Roman" w:hAnsi="Times New Roman" w:cs="Times New Roman"/>
          <w:sz w:val="24"/>
          <w:szCs w:val="24"/>
          <w:lang w:val="en-US"/>
        </w:rPr>
        <w:t>when</w:t>
      </w:r>
      <w:r w:rsidR="006E3290">
        <w:rPr>
          <w:rFonts w:ascii="Times New Roman" w:hAnsi="Times New Roman" w:cs="Times New Roman"/>
          <w:sz w:val="24"/>
          <w:szCs w:val="24"/>
          <w:lang w:val="en-US"/>
        </w:rPr>
        <w:t xml:space="preserve"> </w:t>
      </w:r>
      <w:r w:rsidR="00C22C35">
        <w:rPr>
          <w:rFonts w:ascii="Times New Roman" w:hAnsi="Times New Roman" w:cs="Times New Roman"/>
          <w:sz w:val="24"/>
          <w:szCs w:val="24"/>
          <w:lang w:val="en-US"/>
        </w:rPr>
        <w:t xml:space="preserve">it </w:t>
      </w:r>
      <w:r w:rsidR="005B2438">
        <w:rPr>
          <w:rFonts w:ascii="Times New Roman" w:hAnsi="Times New Roman" w:cs="Times New Roman"/>
          <w:sz w:val="24"/>
          <w:szCs w:val="24"/>
          <w:lang w:val="en-US"/>
        </w:rPr>
        <w:t xml:space="preserve">undertakes a </w:t>
      </w:r>
      <w:r w:rsidR="006E3290">
        <w:rPr>
          <w:rFonts w:ascii="Times New Roman" w:hAnsi="Times New Roman" w:cs="Times New Roman"/>
          <w:sz w:val="24"/>
          <w:szCs w:val="24"/>
          <w:lang w:val="en-US"/>
        </w:rPr>
        <w:t>lead</w:t>
      </w:r>
      <w:r w:rsidR="005B2438">
        <w:rPr>
          <w:rFonts w:ascii="Times New Roman" w:hAnsi="Times New Roman" w:cs="Times New Roman"/>
          <w:sz w:val="24"/>
          <w:szCs w:val="24"/>
          <w:lang w:val="en-US"/>
        </w:rPr>
        <w:t>ing</w:t>
      </w:r>
      <w:r w:rsidR="006E3290">
        <w:rPr>
          <w:rFonts w:ascii="Times New Roman" w:hAnsi="Times New Roman" w:cs="Times New Roman"/>
          <w:sz w:val="24"/>
          <w:szCs w:val="24"/>
          <w:lang w:val="en-US"/>
        </w:rPr>
        <w:t xml:space="preserve"> approach</w:t>
      </w:r>
      <w:r w:rsidR="000055F2">
        <w:rPr>
          <w:rFonts w:ascii="Times New Roman" w:hAnsi="Times New Roman" w:cs="Times New Roman"/>
          <w:sz w:val="24"/>
          <w:szCs w:val="24"/>
          <w:lang w:val="en-US"/>
        </w:rPr>
        <w:t>,</w:t>
      </w:r>
      <w:r w:rsidR="00350E15">
        <w:rPr>
          <w:rFonts w:ascii="Times New Roman" w:hAnsi="Times New Roman" w:cs="Times New Roman"/>
          <w:sz w:val="24"/>
          <w:szCs w:val="24"/>
          <w:lang w:val="en-US"/>
        </w:rPr>
        <w:t xml:space="preserve"> </w:t>
      </w:r>
      <w:r w:rsidR="00775EF7">
        <w:rPr>
          <w:rFonts w:ascii="Times New Roman" w:hAnsi="Times New Roman" w:cs="Times New Roman"/>
          <w:sz w:val="24"/>
          <w:szCs w:val="24"/>
          <w:lang w:val="en-US"/>
        </w:rPr>
        <w:t xml:space="preserve">negatively </w:t>
      </w:r>
      <w:r w:rsidR="00436CF4">
        <w:rPr>
          <w:rFonts w:ascii="Times New Roman" w:hAnsi="Times New Roman" w:cs="Times New Roman"/>
          <w:sz w:val="24"/>
          <w:szCs w:val="24"/>
          <w:lang w:val="en-US"/>
        </w:rPr>
        <w:t>affect</w:t>
      </w:r>
      <w:r w:rsidR="009C6172">
        <w:rPr>
          <w:rFonts w:ascii="Times New Roman" w:hAnsi="Times New Roman" w:cs="Times New Roman"/>
          <w:sz w:val="24"/>
          <w:szCs w:val="24"/>
          <w:lang w:val="en-US"/>
        </w:rPr>
        <w:t>ing</w:t>
      </w:r>
      <w:r w:rsidR="00436CF4">
        <w:rPr>
          <w:rFonts w:ascii="Times New Roman" w:hAnsi="Times New Roman" w:cs="Times New Roman"/>
          <w:sz w:val="24"/>
          <w:szCs w:val="24"/>
          <w:lang w:val="en-US"/>
        </w:rPr>
        <w:t xml:space="preserve"> </w:t>
      </w:r>
      <w:r w:rsidR="000055F2">
        <w:rPr>
          <w:rFonts w:ascii="Times New Roman" w:hAnsi="Times New Roman" w:cs="Times New Roman"/>
          <w:sz w:val="24"/>
          <w:szCs w:val="24"/>
          <w:lang w:val="en-US"/>
        </w:rPr>
        <w:t>its</w:t>
      </w:r>
      <w:r w:rsidR="00436CF4">
        <w:rPr>
          <w:rFonts w:ascii="Times New Roman" w:hAnsi="Times New Roman" w:cs="Times New Roman"/>
          <w:sz w:val="24"/>
          <w:szCs w:val="24"/>
          <w:lang w:val="en-US"/>
        </w:rPr>
        <w:t xml:space="preserve"> </w:t>
      </w:r>
      <w:r w:rsidR="00B97915">
        <w:rPr>
          <w:rFonts w:ascii="Times New Roman" w:hAnsi="Times New Roman" w:cs="Times New Roman"/>
          <w:sz w:val="24"/>
          <w:szCs w:val="24"/>
          <w:lang w:val="en-US"/>
        </w:rPr>
        <w:t>financial and market performance</w:t>
      </w:r>
      <w:r w:rsidR="0079377E">
        <w:rPr>
          <w:rFonts w:ascii="Times New Roman" w:hAnsi="Times New Roman" w:cs="Times New Roman"/>
          <w:sz w:val="24"/>
          <w:szCs w:val="24"/>
          <w:lang w:val="en-US"/>
        </w:rPr>
        <w:t>.</w:t>
      </w:r>
    </w:p>
    <w:bookmarkEnd w:id="5"/>
    <w:p w14:paraId="024B55FB" w14:textId="3A431325" w:rsidR="00C048DA" w:rsidRDefault="00775EF7" w:rsidP="0097321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A26314">
        <w:rPr>
          <w:rFonts w:ascii="Times New Roman" w:hAnsi="Times New Roman" w:cs="Times New Roman"/>
          <w:sz w:val="24"/>
          <w:szCs w:val="24"/>
          <w:lang w:val="en-US"/>
        </w:rPr>
        <w:t>n this study</w:t>
      </w:r>
      <w:r w:rsidR="00342B59">
        <w:rPr>
          <w:rFonts w:ascii="Times New Roman" w:hAnsi="Times New Roman" w:cs="Times New Roman"/>
          <w:sz w:val="24"/>
          <w:szCs w:val="24"/>
          <w:lang w:val="en-US"/>
        </w:rPr>
        <w:t>,</w:t>
      </w:r>
      <w:r w:rsidR="00A26314">
        <w:rPr>
          <w:rFonts w:ascii="Times New Roman" w:hAnsi="Times New Roman" w:cs="Times New Roman"/>
          <w:sz w:val="24"/>
          <w:szCs w:val="24"/>
          <w:lang w:val="en-US"/>
        </w:rPr>
        <w:t xml:space="preserve"> we analyze separately the effects of environmental and social asymmetries. This is because both dimensions have different characteristics that trigger different mechanisms. For example, </w:t>
      </w:r>
      <w:r w:rsidR="00C048DA" w:rsidRPr="00A26314">
        <w:rPr>
          <w:rFonts w:ascii="Times New Roman" w:hAnsi="Times New Roman" w:cs="Times New Roman"/>
          <w:sz w:val="24"/>
          <w:szCs w:val="24"/>
          <w:lang w:val="en-US"/>
        </w:rPr>
        <w:t xml:space="preserve">environmental sustainability has a long tradition of being highly </w:t>
      </w:r>
      <w:r w:rsidR="002852FB" w:rsidRPr="00A26314">
        <w:rPr>
          <w:rFonts w:ascii="Times New Roman" w:hAnsi="Times New Roman" w:cs="Times New Roman"/>
          <w:sz w:val="24"/>
          <w:szCs w:val="24"/>
          <w:lang w:val="en-US"/>
        </w:rPr>
        <w:t>institutionalized</w:t>
      </w:r>
      <w:r w:rsidR="00C048DA">
        <w:rPr>
          <w:rFonts w:ascii="Times New Roman" w:hAnsi="Times New Roman" w:cs="Times New Roman"/>
          <w:sz w:val="24"/>
          <w:szCs w:val="24"/>
          <w:lang w:val="en-US"/>
        </w:rPr>
        <w:t xml:space="preserve"> </w:t>
      </w:r>
      <w:r w:rsidR="00763093">
        <w:rPr>
          <w:rFonts w:ascii="Times New Roman" w:hAnsi="Times New Roman" w:cs="Times New Roman"/>
          <w:sz w:val="24"/>
          <w:szCs w:val="24"/>
          <w:lang w:val="en-US"/>
        </w:rPr>
        <w:t xml:space="preserve">among society segments </w:t>
      </w:r>
      <w:r w:rsidR="00C048DA">
        <w:rPr>
          <w:rFonts w:ascii="Times New Roman" w:hAnsi="Times New Roman" w:cs="Times New Roman"/>
          <w:sz w:val="24"/>
          <w:szCs w:val="24"/>
          <w:lang w:val="en-US"/>
        </w:rPr>
        <w:t>compared to social sustainability</w:t>
      </w:r>
      <w:r w:rsidR="00A26314">
        <w:rPr>
          <w:rFonts w:ascii="Times New Roman" w:hAnsi="Times New Roman" w:cs="Times New Roman"/>
          <w:sz w:val="24"/>
          <w:szCs w:val="24"/>
          <w:lang w:val="en-US"/>
        </w:rPr>
        <w:t>, both in terms of technical details and formalizatio</w:t>
      </w:r>
      <w:r w:rsidR="00A26314" w:rsidRPr="00EF1B41">
        <w:rPr>
          <w:rFonts w:ascii="Times New Roman" w:hAnsi="Times New Roman" w:cs="Times New Roman"/>
          <w:sz w:val="24"/>
          <w:szCs w:val="24"/>
          <w:lang w:val="en-US"/>
        </w:rPr>
        <w:t>n</w:t>
      </w:r>
      <w:r w:rsidR="00C048DA">
        <w:rPr>
          <w:rFonts w:ascii="Times New Roman" w:hAnsi="Times New Roman" w:cs="Times New Roman"/>
          <w:sz w:val="24"/>
          <w:szCs w:val="24"/>
          <w:lang w:val="en-US"/>
        </w:rPr>
        <w:t xml:space="preserve">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Basta</w:t>
      </w:r>
      <w:proofErr w:type="spellEnd"/>
      <w:r w:rsidR="00F3370E" w:rsidRPr="007A6E4B">
        <w:rPr>
          <w:rFonts w:ascii="Times New Roman" w:hAnsi="Times New Roman" w:cs="Times New Roman"/>
          <w:sz w:val="24"/>
          <w:lang w:val="en-US"/>
        </w:rPr>
        <w:t xml:space="preserve"> et al., 2018)</w:t>
      </w:r>
      <w:r w:rsidR="00C048DA">
        <w:rPr>
          <w:rFonts w:ascii="Times New Roman" w:hAnsi="Times New Roman" w:cs="Times New Roman"/>
          <w:sz w:val="24"/>
          <w:szCs w:val="24"/>
          <w:lang w:val="en-US"/>
        </w:rPr>
        <w:t xml:space="preserve">. </w:t>
      </w:r>
      <w:r w:rsidR="005679BA">
        <w:rPr>
          <w:rFonts w:ascii="Times New Roman" w:hAnsi="Times New Roman" w:cs="Times New Roman"/>
          <w:sz w:val="24"/>
          <w:szCs w:val="24"/>
          <w:lang w:val="en-US"/>
        </w:rPr>
        <w:t>We, thus,</w:t>
      </w:r>
      <w:r w:rsidR="00BA25F7">
        <w:rPr>
          <w:rFonts w:ascii="Times New Roman" w:hAnsi="Times New Roman" w:cs="Times New Roman"/>
          <w:sz w:val="24"/>
          <w:szCs w:val="24"/>
          <w:lang w:val="en-US"/>
        </w:rPr>
        <w:t xml:space="preserve"> contend that the presence of asymmetries may affect buyer performance in different ways, </w:t>
      </w:r>
      <w:r w:rsidR="005679BA">
        <w:rPr>
          <w:rFonts w:ascii="Times New Roman" w:hAnsi="Times New Roman" w:cs="Times New Roman"/>
          <w:sz w:val="24"/>
          <w:szCs w:val="24"/>
          <w:lang w:val="en-US"/>
        </w:rPr>
        <w:t xml:space="preserve">including </w:t>
      </w:r>
      <w:r w:rsidR="00C62416">
        <w:rPr>
          <w:rFonts w:ascii="Times New Roman" w:hAnsi="Times New Roman" w:cs="Times New Roman"/>
          <w:sz w:val="24"/>
          <w:szCs w:val="24"/>
          <w:lang w:val="en-US"/>
        </w:rPr>
        <w:t xml:space="preserve">certain </w:t>
      </w:r>
      <w:r w:rsidR="00EC2D50">
        <w:rPr>
          <w:rFonts w:ascii="Times New Roman" w:hAnsi="Times New Roman" w:cs="Times New Roman"/>
          <w:sz w:val="24"/>
          <w:szCs w:val="24"/>
          <w:lang w:val="en-US"/>
        </w:rPr>
        <w:t xml:space="preserve">variations </w:t>
      </w:r>
      <w:r w:rsidR="00C62416">
        <w:rPr>
          <w:rFonts w:ascii="Times New Roman" w:hAnsi="Times New Roman" w:cs="Times New Roman"/>
          <w:sz w:val="24"/>
          <w:szCs w:val="24"/>
          <w:lang w:val="en-US"/>
        </w:rPr>
        <w:t>depending</w:t>
      </w:r>
      <w:r w:rsidR="005679BA">
        <w:rPr>
          <w:rFonts w:ascii="Times New Roman" w:hAnsi="Times New Roman" w:cs="Times New Roman"/>
          <w:sz w:val="24"/>
          <w:szCs w:val="24"/>
          <w:lang w:val="en-US"/>
        </w:rPr>
        <w:t xml:space="preserve"> </w:t>
      </w:r>
      <w:r w:rsidR="00EC2D50">
        <w:rPr>
          <w:rFonts w:ascii="Times New Roman" w:hAnsi="Times New Roman" w:cs="Times New Roman"/>
          <w:sz w:val="24"/>
          <w:szCs w:val="24"/>
          <w:lang w:val="en-US"/>
        </w:rPr>
        <w:t xml:space="preserve">on </w:t>
      </w:r>
      <w:r w:rsidR="00BA25F7">
        <w:rPr>
          <w:rFonts w:ascii="Times New Roman" w:hAnsi="Times New Roman" w:cs="Times New Roman"/>
          <w:sz w:val="24"/>
          <w:szCs w:val="24"/>
          <w:lang w:val="en-US"/>
        </w:rPr>
        <w:t>the dimension considered (</w:t>
      </w:r>
      <w:r w:rsidR="00EC2D50">
        <w:rPr>
          <w:rFonts w:ascii="Times New Roman" w:hAnsi="Times New Roman" w:cs="Times New Roman"/>
          <w:sz w:val="24"/>
          <w:szCs w:val="24"/>
          <w:lang w:val="en-US"/>
        </w:rPr>
        <w:t>i.e.,</w:t>
      </w:r>
      <w:r w:rsidR="00BA25F7">
        <w:rPr>
          <w:rFonts w:ascii="Times New Roman" w:hAnsi="Times New Roman" w:cs="Times New Roman"/>
          <w:sz w:val="24"/>
          <w:szCs w:val="24"/>
          <w:lang w:val="en-US"/>
        </w:rPr>
        <w:t xml:space="preserve"> environmental or social)</w:t>
      </w:r>
      <w:r w:rsidR="00973212">
        <w:rPr>
          <w:rFonts w:ascii="Times New Roman" w:hAnsi="Times New Roman" w:cs="Times New Roman"/>
          <w:sz w:val="24"/>
          <w:szCs w:val="24"/>
          <w:lang w:val="en-US"/>
        </w:rPr>
        <w:t xml:space="preserve">, </w:t>
      </w:r>
      <w:r w:rsidR="00BA25F7">
        <w:rPr>
          <w:rFonts w:ascii="Times New Roman" w:hAnsi="Times New Roman" w:cs="Times New Roman"/>
          <w:sz w:val="24"/>
          <w:szCs w:val="24"/>
          <w:lang w:val="en-US"/>
        </w:rPr>
        <w:t xml:space="preserve">but we do </w:t>
      </w:r>
      <w:r w:rsidR="00C62416">
        <w:rPr>
          <w:rFonts w:ascii="Times New Roman" w:hAnsi="Times New Roman" w:cs="Times New Roman"/>
          <w:sz w:val="24"/>
          <w:szCs w:val="24"/>
          <w:lang w:val="en-US"/>
        </w:rPr>
        <w:t xml:space="preserve">not </w:t>
      </w:r>
      <w:r w:rsidR="005679BA">
        <w:rPr>
          <w:rFonts w:ascii="Times New Roman" w:hAnsi="Times New Roman" w:cs="Times New Roman"/>
          <w:sz w:val="24"/>
          <w:szCs w:val="24"/>
          <w:lang w:val="en-US"/>
        </w:rPr>
        <w:t xml:space="preserve">provide </w:t>
      </w:r>
      <w:r w:rsidR="00973212">
        <w:rPr>
          <w:rFonts w:ascii="Times New Roman" w:hAnsi="Times New Roman" w:cs="Times New Roman"/>
          <w:sz w:val="24"/>
          <w:szCs w:val="24"/>
          <w:lang w:val="en-US"/>
        </w:rPr>
        <w:t xml:space="preserve">ex ante </w:t>
      </w:r>
      <w:r w:rsidR="00C62416">
        <w:rPr>
          <w:rFonts w:ascii="Times New Roman" w:hAnsi="Times New Roman" w:cs="Times New Roman"/>
          <w:sz w:val="24"/>
          <w:szCs w:val="24"/>
          <w:lang w:val="en-US"/>
        </w:rPr>
        <w:t xml:space="preserve">additional </w:t>
      </w:r>
      <w:r w:rsidR="00973212">
        <w:rPr>
          <w:rFonts w:ascii="Times New Roman" w:hAnsi="Times New Roman" w:cs="Times New Roman"/>
          <w:sz w:val="24"/>
          <w:szCs w:val="24"/>
          <w:lang w:val="en-US"/>
        </w:rPr>
        <w:t>arguments</w:t>
      </w:r>
      <w:r w:rsidR="00A26314">
        <w:rPr>
          <w:rFonts w:ascii="Times New Roman" w:hAnsi="Times New Roman" w:cs="Times New Roman"/>
          <w:sz w:val="24"/>
          <w:szCs w:val="24"/>
          <w:lang w:val="en-US"/>
        </w:rPr>
        <w:t xml:space="preserve">. </w:t>
      </w:r>
      <w:r w:rsidR="00EC2D50">
        <w:rPr>
          <w:rFonts w:ascii="Times New Roman" w:hAnsi="Times New Roman" w:cs="Times New Roman"/>
          <w:sz w:val="24"/>
          <w:szCs w:val="24"/>
          <w:lang w:val="en-US"/>
        </w:rPr>
        <w:t>Consequently</w:t>
      </w:r>
      <w:r w:rsidR="00A26314">
        <w:rPr>
          <w:rFonts w:ascii="Times New Roman" w:hAnsi="Times New Roman" w:cs="Times New Roman"/>
          <w:sz w:val="24"/>
          <w:szCs w:val="24"/>
          <w:lang w:val="en-US"/>
        </w:rPr>
        <w:t>, we depict the research hypothes</w:t>
      </w:r>
      <w:r w:rsidR="006D2F99">
        <w:rPr>
          <w:rFonts w:ascii="Times New Roman" w:hAnsi="Times New Roman" w:cs="Times New Roman"/>
          <w:sz w:val="24"/>
          <w:szCs w:val="24"/>
          <w:lang w:val="en-US"/>
        </w:rPr>
        <w:t>e</w:t>
      </w:r>
      <w:r w:rsidR="00A26314">
        <w:rPr>
          <w:rFonts w:ascii="Times New Roman" w:hAnsi="Times New Roman" w:cs="Times New Roman"/>
          <w:sz w:val="24"/>
          <w:szCs w:val="24"/>
          <w:lang w:val="en-US"/>
        </w:rPr>
        <w:t xml:space="preserve">s </w:t>
      </w:r>
      <w:r w:rsidR="00C62416">
        <w:rPr>
          <w:rFonts w:ascii="Times New Roman" w:hAnsi="Times New Roman" w:cs="Times New Roman"/>
          <w:sz w:val="24"/>
          <w:szCs w:val="24"/>
          <w:lang w:val="en-US"/>
        </w:rPr>
        <w:t>in a general manner.</w:t>
      </w:r>
      <w:r w:rsidR="00A26314">
        <w:rPr>
          <w:rFonts w:ascii="Times New Roman" w:hAnsi="Times New Roman" w:cs="Times New Roman"/>
          <w:sz w:val="24"/>
          <w:szCs w:val="24"/>
          <w:lang w:val="en-US"/>
        </w:rPr>
        <w:t xml:space="preserve"> W</w:t>
      </w:r>
      <w:r w:rsidR="00C62416">
        <w:rPr>
          <w:rFonts w:ascii="Times New Roman" w:hAnsi="Times New Roman" w:cs="Times New Roman"/>
          <w:sz w:val="24"/>
          <w:szCs w:val="24"/>
          <w:lang w:val="en-US"/>
        </w:rPr>
        <w:t>e will refer to this issue in the discussion section and we will provide some explanations in accordance with our finding</w:t>
      </w:r>
      <w:r w:rsidR="00A26314">
        <w:rPr>
          <w:rFonts w:ascii="Times New Roman" w:hAnsi="Times New Roman" w:cs="Times New Roman"/>
          <w:sz w:val="24"/>
          <w:szCs w:val="24"/>
          <w:lang w:val="en-US"/>
        </w:rPr>
        <w:t>s</w:t>
      </w:r>
      <w:r w:rsidR="00C62416">
        <w:rPr>
          <w:rFonts w:ascii="Times New Roman" w:hAnsi="Times New Roman" w:cs="Times New Roman"/>
          <w:sz w:val="24"/>
          <w:szCs w:val="24"/>
          <w:lang w:val="en-US"/>
        </w:rPr>
        <w:t xml:space="preserve">. </w:t>
      </w:r>
    </w:p>
    <w:p w14:paraId="1F2E32B6" w14:textId="78C5A354" w:rsidR="00C048DA" w:rsidRDefault="00C62416" w:rsidP="00C048DA">
      <w:pPr>
        <w:spacing w:line="480" w:lineRule="auto"/>
        <w:jc w:val="both"/>
        <w:rPr>
          <w:rFonts w:ascii="Times New Roman" w:hAnsi="Times New Roman" w:cs="Times New Roman"/>
          <w:sz w:val="24"/>
          <w:szCs w:val="24"/>
          <w:lang w:val="en-US"/>
        </w:rPr>
      </w:pPr>
      <w:r w:rsidRPr="00EF0454">
        <w:rPr>
          <w:rFonts w:ascii="Times New Roman" w:hAnsi="Times New Roman" w:cs="Times New Roman"/>
          <w:sz w:val="24"/>
          <w:szCs w:val="24"/>
          <w:lang w:val="en-US"/>
        </w:rPr>
        <w:t xml:space="preserve">To </w:t>
      </w:r>
      <w:r w:rsidR="002852FB" w:rsidRPr="00EF0454">
        <w:rPr>
          <w:rFonts w:ascii="Times New Roman" w:hAnsi="Times New Roman" w:cs="Times New Roman"/>
          <w:sz w:val="24"/>
          <w:szCs w:val="24"/>
          <w:lang w:val="en-US"/>
        </w:rPr>
        <w:t>summarize</w:t>
      </w:r>
      <w:r w:rsidRPr="00A30720">
        <w:rPr>
          <w:rFonts w:ascii="Times New Roman" w:hAnsi="Times New Roman" w:cs="Times New Roman"/>
          <w:sz w:val="24"/>
          <w:szCs w:val="24"/>
          <w:lang w:val="en-US"/>
        </w:rPr>
        <w:t>, t</w:t>
      </w:r>
      <w:r w:rsidR="00536340" w:rsidRPr="003435A7">
        <w:rPr>
          <w:rFonts w:ascii="Times New Roman" w:hAnsi="Times New Roman" w:cs="Times New Roman"/>
          <w:sz w:val="24"/>
          <w:szCs w:val="24"/>
          <w:lang w:val="en-US"/>
        </w:rPr>
        <w:t xml:space="preserve">he compound effect of the above mechanisms </w:t>
      </w:r>
      <w:proofErr w:type="gramStart"/>
      <w:r w:rsidR="00536340" w:rsidRPr="003435A7">
        <w:rPr>
          <w:rFonts w:ascii="Times New Roman" w:hAnsi="Times New Roman" w:cs="Times New Roman"/>
          <w:sz w:val="24"/>
          <w:szCs w:val="24"/>
          <w:lang w:val="en-US"/>
        </w:rPr>
        <w:t>generate</w:t>
      </w:r>
      <w:proofErr w:type="gramEnd"/>
      <w:r w:rsidR="00536340" w:rsidRPr="003435A7">
        <w:rPr>
          <w:rFonts w:ascii="Times New Roman" w:hAnsi="Times New Roman" w:cs="Times New Roman"/>
          <w:sz w:val="24"/>
          <w:szCs w:val="24"/>
          <w:lang w:val="en-US"/>
        </w:rPr>
        <w:t xml:space="preserve"> </w:t>
      </w:r>
      <w:r w:rsidR="0054490F" w:rsidRPr="003435A7">
        <w:rPr>
          <w:rFonts w:ascii="Times New Roman" w:hAnsi="Times New Roman" w:cs="Times New Roman"/>
          <w:sz w:val="24"/>
          <w:szCs w:val="24"/>
          <w:lang w:val="en-US"/>
        </w:rPr>
        <w:t xml:space="preserve">both positive </w:t>
      </w:r>
      <w:r w:rsidR="00536340" w:rsidRPr="003435A7">
        <w:rPr>
          <w:rFonts w:ascii="Times New Roman" w:hAnsi="Times New Roman" w:cs="Times New Roman"/>
          <w:sz w:val="24"/>
          <w:szCs w:val="24"/>
          <w:lang w:val="en-US"/>
        </w:rPr>
        <w:t>a</w:t>
      </w:r>
      <w:r w:rsidR="0054490F" w:rsidRPr="003435A7">
        <w:rPr>
          <w:rFonts w:ascii="Times New Roman" w:hAnsi="Times New Roman" w:cs="Times New Roman"/>
          <w:sz w:val="24"/>
          <w:szCs w:val="24"/>
          <w:lang w:val="en-US"/>
        </w:rPr>
        <w:t>nd</w:t>
      </w:r>
      <w:r w:rsidR="00536340" w:rsidRPr="007B16F5">
        <w:rPr>
          <w:rFonts w:ascii="Times New Roman" w:hAnsi="Times New Roman" w:cs="Times New Roman"/>
          <w:sz w:val="24"/>
          <w:szCs w:val="24"/>
          <w:lang w:val="en-US"/>
        </w:rPr>
        <w:t xml:space="preserve"> negative relationship</w:t>
      </w:r>
      <w:r w:rsidR="00B85E4A" w:rsidRPr="00BB1B6E">
        <w:rPr>
          <w:rFonts w:ascii="Times New Roman" w:hAnsi="Times New Roman" w:cs="Times New Roman"/>
          <w:sz w:val="24"/>
          <w:szCs w:val="24"/>
          <w:lang w:val="en-US"/>
        </w:rPr>
        <w:t>s</w:t>
      </w:r>
      <w:r w:rsidR="00536340" w:rsidRPr="00EF0454">
        <w:rPr>
          <w:rFonts w:ascii="Times New Roman" w:hAnsi="Times New Roman" w:cs="Times New Roman"/>
          <w:sz w:val="24"/>
          <w:szCs w:val="24"/>
          <w:lang w:val="en-US"/>
        </w:rPr>
        <w:t xml:space="preserve"> between </w:t>
      </w:r>
      <w:r w:rsidR="00536340" w:rsidRPr="003435A7">
        <w:rPr>
          <w:rFonts w:ascii="Times New Roman" w:hAnsi="Times New Roman" w:cs="Times New Roman"/>
          <w:sz w:val="24"/>
          <w:szCs w:val="24"/>
          <w:lang w:val="en-US"/>
        </w:rPr>
        <w:t xml:space="preserve">sustainability asymmetries </w:t>
      </w:r>
      <w:r w:rsidR="00536340" w:rsidRPr="00873B4D">
        <w:rPr>
          <w:rFonts w:ascii="Times New Roman" w:hAnsi="Times New Roman" w:cs="Times New Roman"/>
          <w:sz w:val="24"/>
          <w:szCs w:val="24"/>
          <w:lang w:val="en-US"/>
        </w:rPr>
        <w:t>and buyer performance.</w:t>
      </w:r>
      <w:r w:rsidR="0054490F">
        <w:rPr>
          <w:rFonts w:ascii="Times New Roman" w:hAnsi="Times New Roman" w:cs="Times New Roman"/>
          <w:sz w:val="24"/>
          <w:szCs w:val="24"/>
          <w:lang w:val="en-US"/>
        </w:rPr>
        <w:t xml:space="preserve"> In this </w:t>
      </w:r>
      <w:r w:rsidR="0054490F">
        <w:rPr>
          <w:rFonts w:ascii="Times New Roman" w:hAnsi="Times New Roman" w:cs="Times New Roman"/>
          <w:sz w:val="24"/>
          <w:szCs w:val="24"/>
          <w:lang w:val="en-US"/>
        </w:rPr>
        <w:lastRenderedPageBreak/>
        <w:t xml:space="preserve">study, we formulate the hypotheses by including both </w:t>
      </w:r>
      <w:r w:rsidR="007F0F9A">
        <w:rPr>
          <w:rFonts w:ascii="Times New Roman" w:hAnsi="Times New Roman" w:cs="Times New Roman"/>
          <w:sz w:val="24"/>
          <w:szCs w:val="24"/>
          <w:lang w:val="en-US"/>
        </w:rPr>
        <w:t>results (</w:t>
      </w:r>
      <w:r w:rsidR="0018648A">
        <w:rPr>
          <w:rFonts w:ascii="Times New Roman" w:hAnsi="Times New Roman" w:cs="Times New Roman"/>
          <w:sz w:val="24"/>
          <w:szCs w:val="24"/>
          <w:lang w:val="en-US"/>
        </w:rPr>
        <w:t>i.e.,</w:t>
      </w:r>
      <w:r w:rsidR="007F0F9A">
        <w:rPr>
          <w:rFonts w:ascii="Times New Roman" w:hAnsi="Times New Roman" w:cs="Times New Roman"/>
          <w:sz w:val="24"/>
          <w:szCs w:val="24"/>
          <w:lang w:val="en-US"/>
        </w:rPr>
        <w:t xml:space="preserve"> net positive or negative outcome</w:t>
      </w:r>
      <w:r w:rsidR="00B85E4A">
        <w:rPr>
          <w:rFonts w:ascii="Times New Roman" w:hAnsi="Times New Roman" w:cs="Times New Roman"/>
          <w:sz w:val="24"/>
          <w:szCs w:val="24"/>
          <w:lang w:val="en-US"/>
        </w:rPr>
        <w:t>s</w:t>
      </w:r>
      <w:r w:rsidR="007F0F9A">
        <w:rPr>
          <w:rFonts w:ascii="Times New Roman" w:hAnsi="Times New Roman" w:cs="Times New Roman"/>
          <w:sz w:val="24"/>
          <w:szCs w:val="24"/>
          <w:lang w:val="en-US"/>
        </w:rPr>
        <w:t>)</w:t>
      </w:r>
      <w:r w:rsidR="0054490F">
        <w:rPr>
          <w:rFonts w:ascii="Times New Roman" w:hAnsi="Times New Roman" w:cs="Times New Roman"/>
          <w:sz w:val="24"/>
          <w:szCs w:val="24"/>
          <w:lang w:val="en-US"/>
        </w:rPr>
        <w:t>.</w:t>
      </w:r>
      <w:r w:rsidR="00C048DA">
        <w:rPr>
          <w:rFonts w:ascii="Times New Roman" w:hAnsi="Times New Roman" w:cs="Times New Roman"/>
          <w:sz w:val="24"/>
          <w:szCs w:val="24"/>
          <w:lang w:val="en-US"/>
        </w:rPr>
        <w:t xml:space="preserve"> </w:t>
      </w:r>
      <w:r w:rsidR="00B85E4A">
        <w:rPr>
          <w:rFonts w:ascii="Times New Roman" w:hAnsi="Times New Roman" w:cs="Times New Roman"/>
          <w:sz w:val="24"/>
          <w:szCs w:val="24"/>
          <w:lang w:val="en-US"/>
        </w:rPr>
        <w:t xml:space="preserve">Furthermore, we posit that </w:t>
      </w:r>
      <w:r w:rsidR="00C048DA">
        <w:rPr>
          <w:rFonts w:ascii="Times New Roman" w:hAnsi="Times New Roman" w:cs="Times New Roman"/>
          <w:sz w:val="24"/>
          <w:szCs w:val="24"/>
          <w:lang w:val="en-US"/>
        </w:rPr>
        <w:t xml:space="preserve">the overall magnitude </w:t>
      </w:r>
      <w:r w:rsidR="00546382">
        <w:rPr>
          <w:rFonts w:ascii="Times New Roman" w:hAnsi="Times New Roman" w:cs="Times New Roman"/>
          <w:sz w:val="24"/>
          <w:szCs w:val="24"/>
          <w:lang w:val="en-US"/>
        </w:rPr>
        <w:t xml:space="preserve">and sign </w:t>
      </w:r>
      <w:r w:rsidR="00C048DA">
        <w:rPr>
          <w:rFonts w:ascii="Times New Roman" w:hAnsi="Times New Roman" w:cs="Times New Roman"/>
          <w:sz w:val="24"/>
          <w:szCs w:val="24"/>
          <w:lang w:val="en-US"/>
        </w:rPr>
        <w:t>will also depend on the buyer</w:t>
      </w:r>
      <w:r w:rsidR="00B85E4A">
        <w:rPr>
          <w:rFonts w:ascii="Times New Roman" w:hAnsi="Times New Roman" w:cs="Times New Roman"/>
          <w:sz w:val="24"/>
          <w:szCs w:val="24"/>
          <w:lang w:val="en-US"/>
        </w:rPr>
        <w:t>’s</w:t>
      </w:r>
      <w:r w:rsidR="00C048DA">
        <w:rPr>
          <w:rFonts w:ascii="Times New Roman" w:hAnsi="Times New Roman" w:cs="Times New Roman"/>
          <w:sz w:val="24"/>
          <w:szCs w:val="24"/>
          <w:lang w:val="en-US"/>
        </w:rPr>
        <w:t xml:space="preserve"> </w:t>
      </w:r>
      <w:r w:rsidR="00B4667D">
        <w:rPr>
          <w:rFonts w:ascii="Times New Roman" w:hAnsi="Times New Roman" w:cs="Times New Roman"/>
          <w:sz w:val="24"/>
          <w:szCs w:val="24"/>
          <w:lang w:val="en-US"/>
        </w:rPr>
        <w:t xml:space="preserve">sustainability </w:t>
      </w:r>
      <w:r w:rsidR="00C048DA">
        <w:rPr>
          <w:rFonts w:ascii="Times New Roman" w:hAnsi="Times New Roman" w:cs="Times New Roman"/>
          <w:sz w:val="24"/>
          <w:szCs w:val="24"/>
          <w:lang w:val="en-US"/>
        </w:rPr>
        <w:t>approach</w:t>
      </w:r>
      <w:r w:rsidR="00775EF7">
        <w:rPr>
          <w:rFonts w:ascii="Times New Roman" w:hAnsi="Times New Roman" w:cs="Times New Roman"/>
          <w:sz w:val="24"/>
          <w:szCs w:val="24"/>
          <w:lang w:val="en-US"/>
        </w:rPr>
        <w:t>, tackling the impacts on the buyer’s financial and market performance</w:t>
      </w:r>
      <w:r w:rsidR="00C048DA">
        <w:rPr>
          <w:rFonts w:ascii="Times New Roman" w:hAnsi="Times New Roman" w:cs="Times New Roman"/>
          <w:sz w:val="24"/>
          <w:szCs w:val="24"/>
          <w:lang w:val="en-US"/>
        </w:rPr>
        <w:t xml:space="preserve">. </w:t>
      </w:r>
      <w:r w:rsidR="00243755">
        <w:rPr>
          <w:rFonts w:ascii="Times New Roman" w:hAnsi="Times New Roman" w:cs="Times New Roman"/>
          <w:sz w:val="24"/>
          <w:szCs w:val="24"/>
          <w:lang w:val="en-US"/>
        </w:rPr>
        <w:t>W</w:t>
      </w:r>
      <w:r w:rsidR="00C048DA">
        <w:rPr>
          <w:rFonts w:ascii="Times New Roman" w:hAnsi="Times New Roman" w:cs="Times New Roman"/>
          <w:sz w:val="24"/>
          <w:szCs w:val="24"/>
          <w:lang w:val="en-US"/>
        </w:rPr>
        <w:t xml:space="preserve">hile the </w:t>
      </w:r>
      <w:r w:rsidR="006D2F99">
        <w:rPr>
          <w:rFonts w:ascii="Times New Roman" w:hAnsi="Times New Roman" w:cs="Times New Roman"/>
          <w:sz w:val="24"/>
          <w:szCs w:val="24"/>
          <w:lang w:val="en-US"/>
        </w:rPr>
        <w:t>presence</w:t>
      </w:r>
      <w:r w:rsidR="00C048DA">
        <w:rPr>
          <w:rFonts w:ascii="Times New Roman" w:hAnsi="Times New Roman" w:cs="Times New Roman"/>
          <w:sz w:val="24"/>
          <w:szCs w:val="24"/>
          <w:lang w:val="en-US"/>
        </w:rPr>
        <w:t xml:space="preserve"> of sustainability asymmetr</w:t>
      </w:r>
      <w:r w:rsidR="006D2F99">
        <w:rPr>
          <w:rFonts w:ascii="Times New Roman" w:hAnsi="Times New Roman" w:cs="Times New Roman"/>
          <w:sz w:val="24"/>
          <w:szCs w:val="24"/>
          <w:lang w:val="en-US"/>
        </w:rPr>
        <w:t>ies</w:t>
      </w:r>
      <w:r w:rsidR="00C048DA">
        <w:rPr>
          <w:rFonts w:ascii="Times New Roman" w:hAnsi="Times New Roman" w:cs="Times New Roman"/>
          <w:sz w:val="24"/>
          <w:szCs w:val="24"/>
          <w:lang w:val="en-US"/>
        </w:rPr>
        <w:t xml:space="preserve"> (and not the sustainability implementation level </w:t>
      </w:r>
      <w:r w:rsidR="00C048DA" w:rsidRPr="00B352AF">
        <w:rPr>
          <w:rFonts w:ascii="Times New Roman" w:hAnsi="Times New Roman" w:cs="Times New Roman"/>
          <w:i/>
          <w:sz w:val="24"/>
          <w:szCs w:val="24"/>
          <w:lang w:val="en-US"/>
        </w:rPr>
        <w:t>per se</w:t>
      </w:r>
      <w:r w:rsidR="00C048DA" w:rsidRPr="002046C2">
        <w:rPr>
          <w:rFonts w:ascii="Times New Roman" w:hAnsi="Times New Roman" w:cs="Times New Roman"/>
          <w:sz w:val="24"/>
          <w:szCs w:val="24"/>
          <w:lang w:val="en-US"/>
        </w:rPr>
        <w:t>)</w:t>
      </w:r>
      <w:r w:rsidR="00C048DA">
        <w:rPr>
          <w:rFonts w:ascii="Times New Roman" w:hAnsi="Times New Roman" w:cs="Times New Roman"/>
          <w:sz w:val="24"/>
          <w:szCs w:val="24"/>
          <w:lang w:val="en-US"/>
        </w:rPr>
        <w:t xml:space="preserve"> will affect performance, w</w:t>
      </w:r>
      <w:r>
        <w:rPr>
          <w:rFonts w:ascii="Times New Roman" w:hAnsi="Times New Roman" w:cs="Times New Roman"/>
          <w:sz w:val="24"/>
          <w:szCs w:val="24"/>
          <w:lang w:val="en-US"/>
        </w:rPr>
        <w:t>e expect that w</w:t>
      </w:r>
      <w:r w:rsidR="00C048DA">
        <w:rPr>
          <w:rFonts w:ascii="Times New Roman" w:hAnsi="Times New Roman" w:cs="Times New Roman"/>
          <w:sz w:val="24"/>
          <w:szCs w:val="24"/>
          <w:lang w:val="en-US"/>
        </w:rPr>
        <w:t xml:space="preserve">hen the buyer </w:t>
      </w:r>
      <w:r>
        <w:rPr>
          <w:rFonts w:ascii="Times New Roman" w:hAnsi="Times New Roman" w:cs="Times New Roman"/>
          <w:sz w:val="24"/>
          <w:szCs w:val="24"/>
          <w:lang w:val="en-US"/>
        </w:rPr>
        <w:t xml:space="preserve">firm </w:t>
      </w:r>
      <w:r w:rsidR="00B875A2">
        <w:rPr>
          <w:rFonts w:ascii="Times New Roman" w:hAnsi="Times New Roman" w:cs="Times New Roman"/>
          <w:sz w:val="24"/>
          <w:szCs w:val="24"/>
          <w:lang w:val="en-US"/>
        </w:rPr>
        <w:t>takes a</w:t>
      </w:r>
      <w:r w:rsidR="00C048DA">
        <w:rPr>
          <w:rFonts w:ascii="Times New Roman" w:hAnsi="Times New Roman" w:cs="Times New Roman"/>
          <w:sz w:val="24"/>
          <w:szCs w:val="24"/>
          <w:lang w:val="en-US"/>
        </w:rPr>
        <w:t xml:space="preserve"> greening approach, </w:t>
      </w:r>
      <w:r w:rsidR="007F0F9A">
        <w:rPr>
          <w:rFonts w:ascii="Times New Roman" w:hAnsi="Times New Roman" w:cs="Times New Roman"/>
          <w:sz w:val="24"/>
          <w:szCs w:val="24"/>
          <w:lang w:val="en-US"/>
        </w:rPr>
        <w:t>the</w:t>
      </w:r>
      <w:r w:rsidR="004A32EB">
        <w:rPr>
          <w:rFonts w:ascii="Times New Roman" w:hAnsi="Times New Roman" w:cs="Times New Roman"/>
          <w:sz w:val="24"/>
          <w:szCs w:val="24"/>
          <w:lang w:val="en-US"/>
        </w:rPr>
        <w:t xml:space="preserve"> overall </w:t>
      </w:r>
      <w:r w:rsidR="00243755">
        <w:rPr>
          <w:rFonts w:ascii="Times New Roman" w:hAnsi="Times New Roman" w:cs="Times New Roman"/>
          <w:sz w:val="24"/>
          <w:szCs w:val="24"/>
          <w:lang w:val="en-US"/>
        </w:rPr>
        <w:t xml:space="preserve">effect </w:t>
      </w:r>
      <w:r w:rsidR="00E846BC">
        <w:rPr>
          <w:rFonts w:ascii="Times New Roman" w:hAnsi="Times New Roman" w:cs="Times New Roman"/>
          <w:sz w:val="24"/>
          <w:szCs w:val="24"/>
          <w:lang w:val="en-US"/>
        </w:rPr>
        <w:t xml:space="preserve">will </w:t>
      </w:r>
      <w:r w:rsidR="00243755">
        <w:rPr>
          <w:rFonts w:ascii="Times New Roman" w:hAnsi="Times New Roman" w:cs="Times New Roman"/>
          <w:sz w:val="24"/>
          <w:szCs w:val="24"/>
          <w:lang w:val="en-US"/>
        </w:rPr>
        <w:t>be</w:t>
      </w:r>
      <w:r w:rsidR="002F15C8">
        <w:rPr>
          <w:rFonts w:ascii="Times New Roman" w:hAnsi="Times New Roman" w:cs="Times New Roman"/>
          <w:sz w:val="24"/>
          <w:szCs w:val="24"/>
          <w:lang w:val="en-US"/>
        </w:rPr>
        <w:t>come</w:t>
      </w:r>
      <w:r w:rsidR="00243755">
        <w:rPr>
          <w:rFonts w:ascii="Times New Roman" w:hAnsi="Times New Roman" w:cs="Times New Roman"/>
          <w:sz w:val="24"/>
          <w:szCs w:val="24"/>
          <w:lang w:val="en-US"/>
        </w:rPr>
        <w:t xml:space="preserve"> </w:t>
      </w:r>
      <w:r w:rsidR="004A32EB">
        <w:rPr>
          <w:rFonts w:ascii="Times New Roman" w:hAnsi="Times New Roman" w:cs="Times New Roman"/>
          <w:sz w:val="24"/>
          <w:szCs w:val="24"/>
          <w:lang w:val="en-US"/>
        </w:rPr>
        <w:t>negative</w:t>
      </w:r>
      <w:r w:rsidR="007F0F9A">
        <w:rPr>
          <w:rFonts w:ascii="Times New Roman" w:hAnsi="Times New Roman" w:cs="Times New Roman"/>
          <w:sz w:val="24"/>
          <w:szCs w:val="24"/>
          <w:lang w:val="en-US"/>
        </w:rPr>
        <w:t xml:space="preserve"> </w:t>
      </w:r>
      <w:r w:rsidR="00E846BC">
        <w:rPr>
          <w:rFonts w:ascii="Times New Roman" w:hAnsi="Times New Roman" w:cs="Times New Roman"/>
          <w:sz w:val="24"/>
          <w:szCs w:val="24"/>
          <w:lang w:val="en-US"/>
        </w:rPr>
        <w:t>as</w:t>
      </w:r>
      <w:r w:rsidR="004A32EB">
        <w:rPr>
          <w:rFonts w:ascii="Times New Roman" w:hAnsi="Times New Roman" w:cs="Times New Roman"/>
          <w:sz w:val="24"/>
          <w:szCs w:val="24"/>
          <w:lang w:val="en-US"/>
        </w:rPr>
        <w:t xml:space="preserve"> </w:t>
      </w:r>
      <w:r w:rsidR="00C048DA">
        <w:rPr>
          <w:rFonts w:ascii="Times New Roman" w:hAnsi="Times New Roman" w:cs="Times New Roman"/>
          <w:sz w:val="24"/>
          <w:szCs w:val="24"/>
          <w:lang w:val="en-US"/>
        </w:rPr>
        <w:t xml:space="preserve">it belongs to </w:t>
      </w:r>
      <w:r w:rsidR="007F0F9A">
        <w:rPr>
          <w:rFonts w:ascii="Times New Roman" w:hAnsi="Times New Roman" w:cs="Times New Roman"/>
          <w:sz w:val="24"/>
          <w:szCs w:val="24"/>
          <w:lang w:val="en-US"/>
        </w:rPr>
        <w:t>a</w:t>
      </w:r>
      <w:r w:rsidR="00C048DA">
        <w:rPr>
          <w:rFonts w:ascii="Times New Roman" w:hAnsi="Times New Roman" w:cs="Times New Roman"/>
          <w:sz w:val="24"/>
          <w:szCs w:val="24"/>
          <w:lang w:val="en-US"/>
        </w:rPr>
        <w:t xml:space="preserve"> sensitive sector</w:t>
      </w:r>
      <w:r>
        <w:rPr>
          <w:rFonts w:ascii="Times New Roman" w:hAnsi="Times New Roman" w:cs="Times New Roman"/>
          <w:sz w:val="24"/>
          <w:szCs w:val="24"/>
          <w:lang w:val="en-US"/>
        </w:rPr>
        <w:t>.</w:t>
      </w:r>
      <w:r w:rsidR="00C048DA">
        <w:rPr>
          <w:rFonts w:ascii="Times New Roman" w:hAnsi="Times New Roman" w:cs="Times New Roman"/>
          <w:sz w:val="24"/>
          <w:szCs w:val="24"/>
          <w:lang w:val="en-US"/>
        </w:rPr>
        <w:t xml:space="preserve"> </w:t>
      </w:r>
      <w:r w:rsidR="00243755">
        <w:rPr>
          <w:rFonts w:ascii="Times New Roman" w:hAnsi="Times New Roman" w:cs="Times New Roman"/>
          <w:sz w:val="24"/>
          <w:szCs w:val="24"/>
          <w:lang w:val="en-US"/>
        </w:rPr>
        <w:t>In this case, s</w:t>
      </w:r>
      <w:bookmarkStart w:id="6" w:name="_Hlk93396376"/>
      <w:r w:rsidR="00243755">
        <w:rPr>
          <w:rFonts w:ascii="Times New Roman" w:hAnsi="Times New Roman" w:cs="Times New Roman"/>
          <w:sz w:val="24"/>
          <w:szCs w:val="24"/>
          <w:lang w:val="en-US"/>
        </w:rPr>
        <w:t xml:space="preserve">ocietal attention to </w:t>
      </w:r>
      <w:r w:rsidR="00235C39">
        <w:rPr>
          <w:rFonts w:ascii="Times New Roman" w:hAnsi="Times New Roman" w:cs="Times New Roman"/>
          <w:sz w:val="24"/>
          <w:szCs w:val="24"/>
          <w:lang w:val="en-US"/>
        </w:rPr>
        <w:t>the</w:t>
      </w:r>
      <w:r w:rsidR="006D2F99">
        <w:rPr>
          <w:rFonts w:ascii="Times New Roman" w:hAnsi="Times New Roman" w:cs="Times New Roman"/>
          <w:sz w:val="24"/>
          <w:szCs w:val="24"/>
          <w:lang w:val="en-US"/>
        </w:rPr>
        <w:t xml:space="preserve"> </w:t>
      </w:r>
      <w:r w:rsidR="00243755">
        <w:rPr>
          <w:rFonts w:ascii="Times New Roman" w:hAnsi="Times New Roman" w:cs="Times New Roman"/>
          <w:sz w:val="24"/>
          <w:szCs w:val="24"/>
          <w:lang w:val="en-US"/>
        </w:rPr>
        <w:t xml:space="preserve">sustainability </w:t>
      </w:r>
      <w:r w:rsidR="00235C39">
        <w:rPr>
          <w:rFonts w:ascii="Times New Roman" w:hAnsi="Times New Roman" w:cs="Times New Roman"/>
          <w:sz w:val="24"/>
          <w:szCs w:val="24"/>
          <w:lang w:val="en-US"/>
        </w:rPr>
        <w:t>developments</w:t>
      </w:r>
      <w:r w:rsidR="00243755">
        <w:rPr>
          <w:rFonts w:ascii="Times New Roman" w:hAnsi="Times New Roman" w:cs="Times New Roman"/>
          <w:sz w:val="24"/>
          <w:szCs w:val="24"/>
          <w:lang w:val="en-US"/>
        </w:rPr>
        <w:t xml:space="preserve"> will negatively affect the buyer’s legitimacy status</w:t>
      </w:r>
      <w:bookmarkEnd w:id="6"/>
      <w:r w:rsidR="00243755">
        <w:rPr>
          <w:rFonts w:ascii="Times New Roman" w:hAnsi="Times New Roman" w:cs="Times New Roman"/>
          <w:sz w:val="24"/>
          <w:szCs w:val="24"/>
          <w:lang w:val="en-US"/>
        </w:rPr>
        <w:t xml:space="preserve">, compromising </w:t>
      </w:r>
      <w:r w:rsidR="000055F2">
        <w:rPr>
          <w:rFonts w:ascii="Times New Roman" w:hAnsi="Times New Roman" w:cs="Times New Roman"/>
          <w:sz w:val="24"/>
          <w:szCs w:val="24"/>
          <w:lang w:val="en-US"/>
        </w:rPr>
        <w:t xml:space="preserve">the </w:t>
      </w:r>
      <w:r w:rsidR="00B423DA">
        <w:rPr>
          <w:rFonts w:ascii="Times New Roman" w:hAnsi="Times New Roman" w:cs="Times New Roman"/>
          <w:sz w:val="24"/>
          <w:szCs w:val="24"/>
          <w:lang w:val="en-US"/>
        </w:rPr>
        <w:t xml:space="preserve">profitability and </w:t>
      </w:r>
      <w:r w:rsidR="000055F2">
        <w:rPr>
          <w:rFonts w:ascii="Times New Roman" w:hAnsi="Times New Roman" w:cs="Times New Roman"/>
          <w:sz w:val="24"/>
          <w:szCs w:val="24"/>
          <w:lang w:val="en-US"/>
        </w:rPr>
        <w:t>market valu</w:t>
      </w:r>
      <w:r w:rsidR="00B423DA">
        <w:rPr>
          <w:rFonts w:ascii="Times New Roman" w:hAnsi="Times New Roman" w:cs="Times New Roman"/>
          <w:sz w:val="24"/>
          <w:szCs w:val="24"/>
          <w:lang w:val="en-US"/>
        </w:rPr>
        <w:t>ation</w:t>
      </w:r>
      <w:r w:rsidR="000055F2">
        <w:rPr>
          <w:rFonts w:ascii="Times New Roman" w:hAnsi="Times New Roman" w:cs="Times New Roman"/>
          <w:sz w:val="24"/>
          <w:szCs w:val="24"/>
          <w:lang w:val="en-US"/>
        </w:rPr>
        <w:t xml:space="preserve"> of the </w:t>
      </w:r>
      <w:r w:rsidR="008E17D4">
        <w:rPr>
          <w:rFonts w:ascii="Times New Roman" w:hAnsi="Times New Roman" w:cs="Times New Roman"/>
          <w:sz w:val="24"/>
          <w:szCs w:val="24"/>
          <w:lang w:val="en-US"/>
        </w:rPr>
        <w:t>buyer firm</w:t>
      </w:r>
      <w:r w:rsidR="00243755">
        <w:rPr>
          <w:rFonts w:ascii="Times New Roman" w:hAnsi="Times New Roman" w:cs="Times New Roman"/>
          <w:sz w:val="24"/>
          <w:szCs w:val="24"/>
          <w:lang w:val="en-US"/>
        </w:rPr>
        <w:t xml:space="preserve">. </w:t>
      </w:r>
    </w:p>
    <w:p w14:paraId="4A5C3042" w14:textId="3B0D53BB" w:rsidR="0054490F" w:rsidRPr="000C09E1" w:rsidRDefault="0054490F" w:rsidP="00D1660C">
      <w:pPr>
        <w:pStyle w:val="Prrafodelista"/>
        <w:spacing w:line="480" w:lineRule="auto"/>
        <w:ind w:left="0"/>
        <w:jc w:val="both"/>
        <w:rPr>
          <w:rFonts w:ascii="Times New Roman" w:hAnsi="Times New Roman" w:cs="Times New Roman"/>
          <w:sz w:val="24"/>
          <w:szCs w:val="24"/>
          <w:lang w:val="en-US"/>
        </w:rPr>
      </w:pPr>
      <w:r w:rsidRPr="00FF5F57">
        <w:rPr>
          <w:rFonts w:ascii="Times New Roman" w:hAnsi="Times New Roman" w:cs="Times New Roman"/>
          <w:b/>
          <w:sz w:val="24"/>
          <w:szCs w:val="24"/>
          <w:lang w:val="en-US"/>
        </w:rPr>
        <w:t>H1a</w:t>
      </w:r>
      <w:r w:rsidR="00FF5F57" w:rsidRPr="00FF5F57">
        <w:rPr>
          <w:rFonts w:ascii="Times New Roman" w:hAnsi="Times New Roman" w:cs="Times New Roman"/>
          <w:b/>
          <w:sz w:val="24"/>
          <w:szCs w:val="24"/>
          <w:lang w:val="en-US"/>
        </w:rPr>
        <w:t>.</w:t>
      </w:r>
      <w:r w:rsidRPr="000C09E1">
        <w:rPr>
          <w:rFonts w:ascii="Times New Roman" w:hAnsi="Times New Roman" w:cs="Times New Roman"/>
          <w:sz w:val="24"/>
          <w:szCs w:val="24"/>
          <w:lang w:val="en-US"/>
        </w:rPr>
        <w:t xml:space="preserve"> Buyer-supplier environmental asymmetries will have a </w:t>
      </w:r>
      <w:r>
        <w:rPr>
          <w:rFonts w:ascii="Times New Roman" w:hAnsi="Times New Roman" w:cs="Times New Roman"/>
          <w:sz w:val="24"/>
          <w:szCs w:val="24"/>
          <w:lang w:val="en-US"/>
        </w:rPr>
        <w:t>positive</w:t>
      </w:r>
      <w:r w:rsidRPr="000C09E1">
        <w:rPr>
          <w:rFonts w:ascii="Times New Roman" w:hAnsi="Times New Roman" w:cs="Times New Roman"/>
          <w:sz w:val="24"/>
          <w:szCs w:val="24"/>
          <w:lang w:val="en-US"/>
        </w:rPr>
        <w:t xml:space="preserve"> effect on buyer </w:t>
      </w:r>
      <w:r w:rsidR="000055F2">
        <w:rPr>
          <w:rFonts w:ascii="Times New Roman" w:hAnsi="Times New Roman" w:cs="Times New Roman"/>
          <w:sz w:val="24"/>
          <w:szCs w:val="24"/>
          <w:lang w:val="en-US"/>
        </w:rPr>
        <w:t>profitability</w:t>
      </w:r>
      <w:r w:rsidRPr="000C09E1">
        <w:rPr>
          <w:rFonts w:ascii="Times New Roman" w:hAnsi="Times New Roman" w:cs="Times New Roman"/>
          <w:sz w:val="24"/>
          <w:szCs w:val="24"/>
          <w:lang w:val="en-US"/>
        </w:rPr>
        <w:t>.</w:t>
      </w:r>
    </w:p>
    <w:p w14:paraId="4DB43109" w14:textId="2C4C0AF2" w:rsidR="0054490F" w:rsidRPr="000C09E1" w:rsidRDefault="0054490F" w:rsidP="00D1660C">
      <w:pPr>
        <w:pStyle w:val="Prrafodelista"/>
        <w:spacing w:line="480" w:lineRule="auto"/>
        <w:ind w:left="0"/>
        <w:jc w:val="both"/>
        <w:rPr>
          <w:rFonts w:ascii="Times New Roman" w:hAnsi="Times New Roman" w:cs="Times New Roman"/>
          <w:sz w:val="24"/>
          <w:szCs w:val="24"/>
          <w:lang w:val="en-US"/>
        </w:rPr>
      </w:pPr>
      <w:r w:rsidRPr="00FF5F57">
        <w:rPr>
          <w:rFonts w:ascii="Times New Roman" w:hAnsi="Times New Roman" w:cs="Times New Roman"/>
          <w:b/>
          <w:sz w:val="24"/>
          <w:szCs w:val="24"/>
          <w:lang w:val="en-US"/>
        </w:rPr>
        <w:t>H1b</w:t>
      </w:r>
      <w:r w:rsidR="00FF5F57" w:rsidRPr="00FF5F57">
        <w:rPr>
          <w:rFonts w:ascii="Times New Roman" w:hAnsi="Times New Roman" w:cs="Times New Roman"/>
          <w:b/>
          <w:sz w:val="24"/>
          <w:szCs w:val="24"/>
          <w:lang w:val="en-US"/>
        </w:rPr>
        <w:t>.</w:t>
      </w:r>
      <w:r w:rsidRPr="000C09E1">
        <w:rPr>
          <w:rFonts w:ascii="Times New Roman" w:hAnsi="Times New Roman" w:cs="Times New Roman"/>
          <w:sz w:val="24"/>
          <w:szCs w:val="24"/>
          <w:lang w:val="en-US"/>
        </w:rPr>
        <w:t xml:space="preserve"> Buyer-supplier environmental asymmetries will have a negative effect on buyer </w:t>
      </w:r>
      <w:r w:rsidR="000055F2">
        <w:rPr>
          <w:rFonts w:ascii="Times New Roman" w:hAnsi="Times New Roman" w:cs="Times New Roman"/>
          <w:sz w:val="24"/>
          <w:szCs w:val="24"/>
          <w:lang w:val="en-US"/>
        </w:rPr>
        <w:t>profitability</w:t>
      </w:r>
      <w:r w:rsidRPr="000C09E1">
        <w:rPr>
          <w:rFonts w:ascii="Times New Roman" w:hAnsi="Times New Roman" w:cs="Times New Roman"/>
          <w:sz w:val="24"/>
          <w:szCs w:val="24"/>
          <w:lang w:val="en-US"/>
        </w:rPr>
        <w:t>.</w:t>
      </w:r>
    </w:p>
    <w:p w14:paraId="14CA170A" w14:textId="27EF1A94" w:rsidR="0054490F" w:rsidRPr="000C09E1" w:rsidRDefault="0054490F" w:rsidP="00D1660C">
      <w:pPr>
        <w:pStyle w:val="Prrafodelista"/>
        <w:spacing w:line="480" w:lineRule="auto"/>
        <w:ind w:left="0"/>
        <w:jc w:val="both"/>
        <w:rPr>
          <w:rFonts w:ascii="Times New Roman" w:hAnsi="Times New Roman" w:cs="Times New Roman"/>
          <w:sz w:val="24"/>
          <w:szCs w:val="24"/>
          <w:lang w:val="en-US"/>
        </w:rPr>
      </w:pPr>
      <w:r w:rsidRPr="00FF5F57">
        <w:rPr>
          <w:rFonts w:ascii="Times New Roman" w:hAnsi="Times New Roman" w:cs="Times New Roman"/>
          <w:b/>
          <w:sz w:val="24"/>
          <w:szCs w:val="24"/>
          <w:lang w:val="en-US"/>
        </w:rPr>
        <w:t>H2a</w:t>
      </w:r>
      <w:r w:rsidR="00FF5F57" w:rsidRPr="00FF5F57">
        <w:rPr>
          <w:rFonts w:ascii="Times New Roman" w:hAnsi="Times New Roman" w:cs="Times New Roman"/>
          <w:b/>
          <w:sz w:val="24"/>
          <w:szCs w:val="24"/>
          <w:lang w:val="en-US"/>
        </w:rPr>
        <w:t>.</w:t>
      </w:r>
      <w:r w:rsidRPr="000C09E1">
        <w:rPr>
          <w:rFonts w:ascii="Times New Roman" w:hAnsi="Times New Roman" w:cs="Times New Roman"/>
          <w:sz w:val="24"/>
          <w:szCs w:val="24"/>
          <w:lang w:val="en-US"/>
        </w:rPr>
        <w:t xml:space="preserve"> Buyer-supplier </w:t>
      </w:r>
      <w:r>
        <w:rPr>
          <w:rFonts w:ascii="Times New Roman" w:hAnsi="Times New Roman" w:cs="Times New Roman"/>
          <w:sz w:val="24"/>
          <w:szCs w:val="24"/>
          <w:lang w:val="en-US"/>
        </w:rPr>
        <w:t>social</w:t>
      </w:r>
      <w:r w:rsidRPr="000C09E1">
        <w:rPr>
          <w:rFonts w:ascii="Times New Roman" w:hAnsi="Times New Roman" w:cs="Times New Roman"/>
          <w:sz w:val="24"/>
          <w:szCs w:val="24"/>
          <w:lang w:val="en-US"/>
        </w:rPr>
        <w:t xml:space="preserve"> asymmetries will have a </w:t>
      </w:r>
      <w:r>
        <w:rPr>
          <w:rFonts w:ascii="Times New Roman" w:hAnsi="Times New Roman" w:cs="Times New Roman"/>
          <w:sz w:val="24"/>
          <w:szCs w:val="24"/>
          <w:lang w:val="en-US"/>
        </w:rPr>
        <w:t>positive</w:t>
      </w:r>
      <w:r w:rsidRPr="000C09E1">
        <w:rPr>
          <w:rFonts w:ascii="Times New Roman" w:hAnsi="Times New Roman" w:cs="Times New Roman"/>
          <w:sz w:val="24"/>
          <w:szCs w:val="24"/>
          <w:lang w:val="en-US"/>
        </w:rPr>
        <w:t xml:space="preserve"> effect on buyer </w:t>
      </w:r>
      <w:r w:rsidR="000055F2">
        <w:rPr>
          <w:rFonts w:ascii="Times New Roman" w:hAnsi="Times New Roman" w:cs="Times New Roman"/>
          <w:sz w:val="24"/>
          <w:szCs w:val="24"/>
          <w:lang w:val="en-US"/>
        </w:rPr>
        <w:t>profitability</w:t>
      </w:r>
      <w:r w:rsidRPr="000C09E1">
        <w:rPr>
          <w:rFonts w:ascii="Times New Roman" w:hAnsi="Times New Roman" w:cs="Times New Roman"/>
          <w:sz w:val="24"/>
          <w:szCs w:val="24"/>
          <w:lang w:val="en-US"/>
        </w:rPr>
        <w:t>.</w:t>
      </w:r>
    </w:p>
    <w:p w14:paraId="27E29C46" w14:textId="6FE38BD7" w:rsidR="0054490F" w:rsidRDefault="0054490F" w:rsidP="00D1660C">
      <w:pPr>
        <w:pStyle w:val="Prrafodelista"/>
        <w:spacing w:line="480" w:lineRule="auto"/>
        <w:ind w:left="0"/>
        <w:jc w:val="both"/>
        <w:rPr>
          <w:rFonts w:ascii="Times New Roman" w:hAnsi="Times New Roman" w:cs="Times New Roman"/>
          <w:sz w:val="24"/>
          <w:szCs w:val="24"/>
          <w:lang w:val="en-US"/>
        </w:rPr>
      </w:pPr>
      <w:r w:rsidRPr="00FF5F57">
        <w:rPr>
          <w:rFonts w:ascii="Times New Roman" w:hAnsi="Times New Roman" w:cs="Times New Roman"/>
          <w:b/>
          <w:sz w:val="24"/>
          <w:szCs w:val="24"/>
          <w:lang w:val="en-US"/>
        </w:rPr>
        <w:t>H2b</w:t>
      </w:r>
      <w:r w:rsidR="00FF5F57">
        <w:rPr>
          <w:rFonts w:ascii="Times New Roman" w:hAnsi="Times New Roman" w:cs="Times New Roman"/>
          <w:sz w:val="24"/>
          <w:szCs w:val="24"/>
          <w:lang w:val="en-US"/>
        </w:rPr>
        <w:t>.</w:t>
      </w:r>
      <w:r w:rsidRPr="000C09E1">
        <w:rPr>
          <w:rFonts w:ascii="Times New Roman" w:hAnsi="Times New Roman" w:cs="Times New Roman"/>
          <w:sz w:val="24"/>
          <w:szCs w:val="24"/>
          <w:lang w:val="en-US"/>
        </w:rPr>
        <w:t xml:space="preserve"> Buyer-supplier </w:t>
      </w:r>
      <w:r>
        <w:rPr>
          <w:rFonts w:ascii="Times New Roman" w:hAnsi="Times New Roman" w:cs="Times New Roman"/>
          <w:sz w:val="24"/>
          <w:szCs w:val="24"/>
          <w:lang w:val="en-US"/>
        </w:rPr>
        <w:t>social</w:t>
      </w:r>
      <w:r w:rsidRPr="000C09E1">
        <w:rPr>
          <w:rFonts w:ascii="Times New Roman" w:hAnsi="Times New Roman" w:cs="Times New Roman"/>
          <w:sz w:val="24"/>
          <w:szCs w:val="24"/>
          <w:lang w:val="en-US"/>
        </w:rPr>
        <w:t xml:space="preserve"> asymmetries will have a negative effect on buyer </w:t>
      </w:r>
      <w:r w:rsidR="000055F2">
        <w:rPr>
          <w:rFonts w:ascii="Times New Roman" w:hAnsi="Times New Roman" w:cs="Times New Roman"/>
          <w:sz w:val="24"/>
          <w:szCs w:val="24"/>
          <w:lang w:val="en-US"/>
        </w:rPr>
        <w:t>profitability</w:t>
      </w:r>
      <w:r w:rsidRPr="000C09E1">
        <w:rPr>
          <w:rFonts w:ascii="Times New Roman" w:hAnsi="Times New Roman" w:cs="Times New Roman"/>
          <w:sz w:val="24"/>
          <w:szCs w:val="24"/>
          <w:lang w:val="en-US"/>
        </w:rPr>
        <w:t>.</w:t>
      </w:r>
    </w:p>
    <w:p w14:paraId="4DEBDFCB" w14:textId="00954021" w:rsidR="000055F2" w:rsidRPr="000C09E1" w:rsidRDefault="000055F2" w:rsidP="000055F2">
      <w:pPr>
        <w:pStyle w:val="Prrafodelista"/>
        <w:spacing w:line="480" w:lineRule="auto"/>
        <w:ind w:left="0"/>
        <w:jc w:val="both"/>
        <w:rPr>
          <w:rFonts w:ascii="Times New Roman" w:hAnsi="Times New Roman" w:cs="Times New Roman"/>
          <w:sz w:val="24"/>
          <w:szCs w:val="24"/>
          <w:lang w:val="en-US"/>
        </w:rPr>
      </w:pPr>
      <w:r w:rsidRPr="00FF5F57">
        <w:rPr>
          <w:rFonts w:ascii="Times New Roman" w:hAnsi="Times New Roman" w:cs="Times New Roman"/>
          <w:b/>
          <w:sz w:val="24"/>
          <w:szCs w:val="24"/>
          <w:lang w:val="en-US"/>
        </w:rPr>
        <w:t>H</w:t>
      </w:r>
      <w:r>
        <w:rPr>
          <w:rFonts w:ascii="Times New Roman" w:hAnsi="Times New Roman" w:cs="Times New Roman"/>
          <w:b/>
          <w:sz w:val="24"/>
          <w:szCs w:val="24"/>
          <w:lang w:val="en-US"/>
        </w:rPr>
        <w:t>3</w:t>
      </w:r>
      <w:r w:rsidRPr="00FF5F57">
        <w:rPr>
          <w:rFonts w:ascii="Times New Roman" w:hAnsi="Times New Roman" w:cs="Times New Roman"/>
          <w:b/>
          <w:sz w:val="24"/>
          <w:szCs w:val="24"/>
          <w:lang w:val="en-US"/>
        </w:rPr>
        <w:t>a.</w:t>
      </w:r>
      <w:r w:rsidRPr="000C09E1">
        <w:rPr>
          <w:rFonts w:ascii="Times New Roman" w:hAnsi="Times New Roman" w:cs="Times New Roman"/>
          <w:sz w:val="24"/>
          <w:szCs w:val="24"/>
          <w:lang w:val="en-US"/>
        </w:rPr>
        <w:t xml:space="preserve"> Buyer-supplier environmental asymmetries will have a </w:t>
      </w:r>
      <w:r>
        <w:rPr>
          <w:rFonts w:ascii="Times New Roman" w:hAnsi="Times New Roman" w:cs="Times New Roman"/>
          <w:sz w:val="24"/>
          <w:szCs w:val="24"/>
          <w:lang w:val="en-US"/>
        </w:rPr>
        <w:t>positive</w:t>
      </w:r>
      <w:r w:rsidRPr="000C09E1">
        <w:rPr>
          <w:rFonts w:ascii="Times New Roman" w:hAnsi="Times New Roman" w:cs="Times New Roman"/>
          <w:sz w:val="24"/>
          <w:szCs w:val="24"/>
          <w:lang w:val="en-US"/>
        </w:rPr>
        <w:t xml:space="preserve"> effect on buyer </w:t>
      </w:r>
      <w:r>
        <w:rPr>
          <w:rFonts w:ascii="Times New Roman" w:hAnsi="Times New Roman" w:cs="Times New Roman"/>
          <w:sz w:val="24"/>
          <w:szCs w:val="24"/>
          <w:lang w:val="en-US"/>
        </w:rPr>
        <w:t>market valuation</w:t>
      </w:r>
      <w:r w:rsidRPr="000C09E1">
        <w:rPr>
          <w:rFonts w:ascii="Times New Roman" w:hAnsi="Times New Roman" w:cs="Times New Roman"/>
          <w:sz w:val="24"/>
          <w:szCs w:val="24"/>
          <w:lang w:val="en-US"/>
        </w:rPr>
        <w:t>.</w:t>
      </w:r>
    </w:p>
    <w:p w14:paraId="6CF555FF" w14:textId="0F185185" w:rsidR="000055F2" w:rsidRPr="000C09E1" w:rsidRDefault="000055F2" w:rsidP="000055F2">
      <w:pPr>
        <w:pStyle w:val="Prrafodelista"/>
        <w:spacing w:line="480" w:lineRule="auto"/>
        <w:ind w:left="0"/>
        <w:jc w:val="both"/>
        <w:rPr>
          <w:rFonts w:ascii="Times New Roman" w:hAnsi="Times New Roman" w:cs="Times New Roman"/>
          <w:sz w:val="24"/>
          <w:szCs w:val="24"/>
          <w:lang w:val="en-US"/>
        </w:rPr>
      </w:pPr>
      <w:r w:rsidRPr="00FF5F57">
        <w:rPr>
          <w:rFonts w:ascii="Times New Roman" w:hAnsi="Times New Roman" w:cs="Times New Roman"/>
          <w:b/>
          <w:sz w:val="24"/>
          <w:szCs w:val="24"/>
          <w:lang w:val="en-US"/>
        </w:rPr>
        <w:t>H</w:t>
      </w:r>
      <w:r>
        <w:rPr>
          <w:rFonts w:ascii="Times New Roman" w:hAnsi="Times New Roman" w:cs="Times New Roman"/>
          <w:b/>
          <w:sz w:val="24"/>
          <w:szCs w:val="24"/>
          <w:lang w:val="en-US"/>
        </w:rPr>
        <w:t>3</w:t>
      </w:r>
      <w:r w:rsidRPr="00FF5F57">
        <w:rPr>
          <w:rFonts w:ascii="Times New Roman" w:hAnsi="Times New Roman" w:cs="Times New Roman"/>
          <w:b/>
          <w:sz w:val="24"/>
          <w:szCs w:val="24"/>
          <w:lang w:val="en-US"/>
        </w:rPr>
        <w:t>b.</w:t>
      </w:r>
      <w:r w:rsidRPr="000C09E1">
        <w:rPr>
          <w:rFonts w:ascii="Times New Roman" w:hAnsi="Times New Roman" w:cs="Times New Roman"/>
          <w:sz w:val="24"/>
          <w:szCs w:val="24"/>
          <w:lang w:val="en-US"/>
        </w:rPr>
        <w:t xml:space="preserve"> Buyer-supplier environmental asymmetries will have a negative effect on buyer </w:t>
      </w:r>
      <w:r>
        <w:rPr>
          <w:rFonts w:ascii="Times New Roman" w:hAnsi="Times New Roman" w:cs="Times New Roman"/>
          <w:sz w:val="24"/>
          <w:szCs w:val="24"/>
          <w:lang w:val="en-US"/>
        </w:rPr>
        <w:t>market valuation</w:t>
      </w:r>
      <w:r w:rsidRPr="000C09E1">
        <w:rPr>
          <w:rFonts w:ascii="Times New Roman" w:hAnsi="Times New Roman" w:cs="Times New Roman"/>
          <w:sz w:val="24"/>
          <w:szCs w:val="24"/>
          <w:lang w:val="en-US"/>
        </w:rPr>
        <w:t>.</w:t>
      </w:r>
    </w:p>
    <w:p w14:paraId="1AF0FD04" w14:textId="77F4B755" w:rsidR="000055F2" w:rsidRPr="000C09E1" w:rsidRDefault="000055F2" w:rsidP="000055F2">
      <w:pPr>
        <w:pStyle w:val="Prrafodelista"/>
        <w:spacing w:line="480" w:lineRule="auto"/>
        <w:ind w:left="0"/>
        <w:jc w:val="both"/>
        <w:rPr>
          <w:rFonts w:ascii="Times New Roman" w:hAnsi="Times New Roman" w:cs="Times New Roman"/>
          <w:sz w:val="24"/>
          <w:szCs w:val="24"/>
          <w:lang w:val="en-US"/>
        </w:rPr>
      </w:pPr>
      <w:r w:rsidRPr="00FF5F57">
        <w:rPr>
          <w:rFonts w:ascii="Times New Roman" w:hAnsi="Times New Roman" w:cs="Times New Roman"/>
          <w:b/>
          <w:sz w:val="24"/>
          <w:szCs w:val="24"/>
          <w:lang w:val="en-US"/>
        </w:rPr>
        <w:t>H</w:t>
      </w:r>
      <w:r>
        <w:rPr>
          <w:rFonts w:ascii="Times New Roman" w:hAnsi="Times New Roman" w:cs="Times New Roman"/>
          <w:b/>
          <w:sz w:val="24"/>
          <w:szCs w:val="24"/>
          <w:lang w:val="en-US"/>
        </w:rPr>
        <w:t>4</w:t>
      </w:r>
      <w:r w:rsidRPr="00FF5F57">
        <w:rPr>
          <w:rFonts w:ascii="Times New Roman" w:hAnsi="Times New Roman" w:cs="Times New Roman"/>
          <w:b/>
          <w:sz w:val="24"/>
          <w:szCs w:val="24"/>
          <w:lang w:val="en-US"/>
        </w:rPr>
        <w:t>a.</w:t>
      </w:r>
      <w:r w:rsidRPr="000C09E1">
        <w:rPr>
          <w:rFonts w:ascii="Times New Roman" w:hAnsi="Times New Roman" w:cs="Times New Roman"/>
          <w:sz w:val="24"/>
          <w:szCs w:val="24"/>
          <w:lang w:val="en-US"/>
        </w:rPr>
        <w:t xml:space="preserve"> Buyer-supplier </w:t>
      </w:r>
      <w:r>
        <w:rPr>
          <w:rFonts w:ascii="Times New Roman" w:hAnsi="Times New Roman" w:cs="Times New Roman"/>
          <w:sz w:val="24"/>
          <w:szCs w:val="24"/>
          <w:lang w:val="en-US"/>
        </w:rPr>
        <w:t>social</w:t>
      </w:r>
      <w:r w:rsidRPr="000C09E1">
        <w:rPr>
          <w:rFonts w:ascii="Times New Roman" w:hAnsi="Times New Roman" w:cs="Times New Roman"/>
          <w:sz w:val="24"/>
          <w:szCs w:val="24"/>
          <w:lang w:val="en-US"/>
        </w:rPr>
        <w:t xml:space="preserve"> asymmetries will have a </w:t>
      </w:r>
      <w:r>
        <w:rPr>
          <w:rFonts w:ascii="Times New Roman" w:hAnsi="Times New Roman" w:cs="Times New Roman"/>
          <w:sz w:val="24"/>
          <w:szCs w:val="24"/>
          <w:lang w:val="en-US"/>
        </w:rPr>
        <w:t>positive</w:t>
      </w:r>
      <w:r w:rsidRPr="000C09E1">
        <w:rPr>
          <w:rFonts w:ascii="Times New Roman" w:hAnsi="Times New Roman" w:cs="Times New Roman"/>
          <w:sz w:val="24"/>
          <w:szCs w:val="24"/>
          <w:lang w:val="en-US"/>
        </w:rPr>
        <w:t xml:space="preserve"> effect on buyer </w:t>
      </w:r>
      <w:r>
        <w:rPr>
          <w:rFonts w:ascii="Times New Roman" w:hAnsi="Times New Roman" w:cs="Times New Roman"/>
          <w:sz w:val="24"/>
          <w:szCs w:val="24"/>
          <w:lang w:val="en-US"/>
        </w:rPr>
        <w:t>market valuation</w:t>
      </w:r>
      <w:r w:rsidRPr="000C09E1">
        <w:rPr>
          <w:rFonts w:ascii="Times New Roman" w:hAnsi="Times New Roman" w:cs="Times New Roman"/>
          <w:sz w:val="24"/>
          <w:szCs w:val="24"/>
          <w:lang w:val="en-US"/>
        </w:rPr>
        <w:t>.</w:t>
      </w:r>
    </w:p>
    <w:p w14:paraId="2A275327" w14:textId="0576BE85" w:rsidR="000055F2" w:rsidRDefault="000055F2" w:rsidP="000055F2">
      <w:pPr>
        <w:pStyle w:val="Prrafodelista"/>
        <w:spacing w:line="480" w:lineRule="auto"/>
        <w:ind w:left="0"/>
        <w:jc w:val="both"/>
        <w:rPr>
          <w:rFonts w:ascii="Times New Roman" w:hAnsi="Times New Roman" w:cs="Times New Roman"/>
          <w:sz w:val="24"/>
          <w:szCs w:val="24"/>
          <w:lang w:val="en-US"/>
        </w:rPr>
      </w:pPr>
      <w:r w:rsidRPr="00FF5F57">
        <w:rPr>
          <w:rFonts w:ascii="Times New Roman" w:hAnsi="Times New Roman" w:cs="Times New Roman"/>
          <w:b/>
          <w:sz w:val="24"/>
          <w:szCs w:val="24"/>
          <w:lang w:val="en-US"/>
        </w:rPr>
        <w:t>H</w:t>
      </w:r>
      <w:r>
        <w:rPr>
          <w:rFonts w:ascii="Times New Roman" w:hAnsi="Times New Roman" w:cs="Times New Roman"/>
          <w:b/>
          <w:sz w:val="24"/>
          <w:szCs w:val="24"/>
          <w:lang w:val="en-US"/>
        </w:rPr>
        <w:t>4</w:t>
      </w:r>
      <w:r w:rsidRPr="00FF5F57">
        <w:rPr>
          <w:rFonts w:ascii="Times New Roman" w:hAnsi="Times New Roman" w:cs="Times New Roman"/>
          <w:b/>
          <w:sz w:val="24"/>
          <w:szCs w:val="24"/>
          <w:lang w:val="en-US"/>
        </w:rPr>
        <w:t>b</w:t>
      </w:r>
      <w:r>
        <w:rPr>
          <w:rFonts w:ascii="Times New Roman" w:hAnsi="Times New Roman" w:cs="Times New Roman"/>
          <w:sz w:val="24"/>
          <w:szCs w:val="24"/>
          <w:lang w:val="en-US"/>
        </w:rPr>
        <w:t>.</w:t>
      </w:r>
      <w:r w:rsidRPr="000C09E1">
        <w:rPr>
          <w:rFonts w:ascii="Times New Roman" w:hAnsi="Times New Roman" w:cs="Times New Roman"/>
          <w:sz w:val="24"/>
          <w:szCs w:val="24"/>
          <w:lang w:val="en-US"/>
        </w:rPr>
        <w:t xml:space="preserve"> Buyer-supplier </w:t>
      </w:r>
      <w:r>
        <w:rPr>
          <w:rFonts w:ascii="Times New Roman" w:hAnsi="Times New Roman" w:cs="Times New Roman"/>
          <w:sz w:val="24"/>
          <w:szCs w:val="24"/>
          <w:lang w:val="en-US"/>
        </w:rPr>
        <w:t>social</w:t>
      </w:r>
      <w:r w:rsidRPr="000C09E1">
        <w:rPr>
          <w:rFonts w:ascii="Times New Roman" w:hAnsi="Times New Roman" w:cs="Times New Roman"/>
          <w:sz w:val="24"/>
          <w:szCs w:val="24"/>
          <w:lang w:val="en-US"/>
        </w:rPr>
        <w:t xml:space="preserve"> asymmetries will have a negative effect on buyer </w:t>
      </w:r>
      <w:r>
        <w:rPr>
          <w:rFonts w:ascii="Times New Roman" w:hAnsi="Times New Roman" w:cs="Times New Roman"/>
          <w:sz w:val="24"/>
          <w:szCs w:val="24"/>
          <w:lang w:val="en-US"/>
        </w:rPr>
        <w:t>market valuation</w:t>
      </w:r>
      <w:r w:rsidRPr="000C09E1">
        <w:rPr>
          <w:rFonts w:ascii="Times New Roman" w:hAnsi="Times New Roman" w:cs="Times New Roman"/>
          <w:sz w:val="24"/>
          <w:szCs w:val="24"/>
          <w:lang w:val="en-US"/>
        </w:rPr>
        <w:t>.</w:t>
      </w:r>
    </w:p>
    <w:p w14:paraId="6680FA31" w14:textId="3D2E62AC" w:rsidR="00801C07" w:rsidRDefault="00801C07" w:rsidP="00D1660C">
      <w:pPr>
        <w:pStyle w:val="Prrafodelista"/>
        <w:spacing w:line="480" w:lineRule="auto"/>
        <w:ind w:left="0"/>
        <w:jc w:val="both"/>
        <w:rPr>
          <w:rFonts w:ascii="Times New Roman" w:hAnsi="Times New Roman" w:cs="Times New Roman"/>
          <w:sz w:val="24"/>
          <w:szCs w:val="24"/>
          <w:lang w:val="en-US"/>
        </w:rPr>
      </w:pPr>
      <w:r>
        <w:rPr>
          <w:rFonts w:ascii="Times New Roman" w:hAnsi="Times New Roman" w:cs="Times New Roman"/>
          <w:b/>
          <w:sz w:val="24"/>
          <w:szCs w:val="24"/>
          <w:lang w:val="en-US"/>
        </w:rPr>
        <w:t>H</w:t>
      </w:r>
      <w:r w:rsidR="000055F2">
        <w:rPr>
          <w:rFonts w:ascii="Times New Roman" w:hAnsi="Times New Roman" w:cs="Times New Roman"/>
          <w:b/>
          <w:sz w:val="24"/>
          <w:szCs w:val="24"/>
          <w:lang w:val="en-US"/>
        </w:rPr>
        <w:t>5</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When the buyer adopts a </w:t>
      </w:r>
      <w:r w:rsidRPr="00645479">
        <w:rPr>
          <w:rFonts w:ascii="Times New Roman" w:hAnsi="Times New Roman" w:cs="Times New Roman"/>
          <w:i/>
          <w:sz w:val="24"/>
          <w:szCs w:val="24"/>
          <w:lang w:val="en-US"/>
        </w:rPr>
        <w:t>greening</w:t>
      </w:r>
      <w:r>
        <w:rPr>
          <w:rFonts w:ascii="Times New Roman" w:hAnsi="Times New Roman" w:cs="Times New Roman"/>
          <w:sz w:val="24"/>
          <w:szCs w:val="24"/>
          <w:lang w:val="en-US"/>
        </w:rPr>
        <w:t xml:space="preserve"> approach, buyer-supplier asymmetries will have a negative effect on its </w:t>
      </w:r>
      <w:r w:rsidR="000055F2">
        <w:rPr>
          <w:rFonts w:ascii="Times New Roman" w:hAnsi="Times New Roman" w:cs="Times New Roman"/>
          <w:sz w:val="24"/>
          <w:szCs w:val="24"/>
          <w:lang w:val="en-US"/>
        </w:rPr>
        <w:t>profitability</w:t>
      </w:r>
      <w:r>
        <w:rPr>
          <w:rFonts w:ascii="Times New Roman" w:hAnsi="Times New Roman" w:cs="Times New Roman"/>
          <w:sz w:val="24"/>
          <w:szCs w:val="24"/>
          <w:lang w:val="en-US"/>
        </w:rPr>
        <w:t>.</w:t>
      </w:r>
    </w:p>
    <w:p w14:paraId="73A7E51B" w14:textId="1E7FDF73" w:rsidR="000055F2" w:rsidRDefault="000055F2" w:rsidP="000055F2">
      <w:pPr>
        <w:pStyle w:val="Prrafodelista"/>
        <w:spacing w:line="480" w:lineRule="auto"/>
        <w:ind w:left="0"/>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H6.</w:t>
      </w:r>
      <w:r>
        <w:rPr>
          <w:rFonts w:ascii="Times New Roman" w:hAnsi="Times New Roman" w:cs="Times New Roman"/>
          <w:sz w:val="24"/>
          <w:szCs w:val="24"/>
          <w:lang w:val="en-US"/>
        </w:rPr>
        <w:t xml:space="preserve"> When the buyer adopts a </w:t>
      </w:r>
      <w:r w:rsidRPr="00645479">
        <w:rPr>
          <w:rFonts w:ascii="Times New Roman" w:hAnsi="Times New Roman" w:cs="Times New Roman"/>
          <w:i/>
          <w:sz w:val="24"/>
          <w:szCs w:val="24"/>
          <w:lang w:val="en-US"/>
        </w:rPr>
        <w:t>greening</w:t>
      </w:r>
      <w:r>
        <w:rPr>
          <w:rFonts w:ascii="Times New Roman" w:hAnsi="Times New Roman" w:cs="Times New Roman"/>
          <w:sz w:val="24"/>
          <w:szCs w:val="24"/>
          <w:lang w:val="en-US"/>
        </w:rPr>
        <w:t xml:space="preserve"> approach, buyer-supplier asymmetries will have a negative effect on its market valuation.</w:t>
      </w:r>
    </w:p>
    <w:p w14:paraId="31AA4409" w14:textId="6C00DC3E" w:rsidR="000F768E" w:rsidRDefault="000F768E">
      <w:pPr>
        <w:rPr>
          <w:lang w:val="en-US"/>
        </w:rPr>
      </w:pPr>
    </w:p>
    <w:p w14:paraId="2DB6984C" w14:textId="114E4EEE" w:rsidR="0091010D" w:rsidRPr="0078687F" w:rsidRDefault="0091010D" w:rsidP="0091010D">
      <w:pPr>
        <w:spacing w:line="480" w:lineRule="auto"/>
        <w:jc w:val="both"/>
        <w:rPr>
          <w:rFonts w:ascii="Times New Roman" w:eastAsia="Calibri" w:hAnsi="Times New Roman" w:cs="Times New Roman"/>
          <w:b/>
          <w:sz w:val="24"/>
          <w:szCs w:val="26"/>
          <w:lang w:val="en-GB"/>
        </w:rPr>
      </w:pPr>
      <w:r>
        <w:rPr>
          <w:rFonts w:ascii="Times New Roman" w:eastAsia="Calibri" w:hAnsi="Times New Roman" w:cs="Times New Roman"/>
          <w:b/>
          <w:sz w:val="24"/>
          <w:szCs w:val="26"/>
          <w:lang w:val="en-GB"/>
        </w:rPr>
        <w:t>3</w:t>
      </w:r>
      <w:r w:rsidRPr="0078687F">
        <w:rPr>
          <w:rFonts w:ascii="Times New Roman" w:eastAsia="Calibri" w:hAnsi="Times New Roman" w:cs="Times New Roman"/>
          <w:b/>
          <w:sz w:val="24"/>
          <w:szCs w:val="26"/>
          <w:lang w:val="en-GB"/>
        </w:rPr>
        <w:t>. M</w:t>
      </w:r>
      <w:r w:rsidR="00D1660C">
        <w:rPr>
          <w:rFonts w:ascii="Times New Roman" w:eastAsia="Calibri" w:hAnsi="Times New Roman" w:cs="Times New Roman"/>
          <w:b/>
          <w:sz w:val="24"/>
          <w:szCs w:val="26"/>
          <w:lang w:val="en-GB"/>
        </w:rPr>
        <w:t>ethod</w:t>
      </w:r>
    </w:p>
    <w:p w14:paraId="50FD7A3E" w14:textId="77777777" w:rsidR="0091010D" w:rsidRPr="00D1660C" w:rsidRDefault="0091010D" w:rsidP="0091010D">
      <w:pPr>
        <w:spacing w:line="480" w:lineRule="auto"/>
        <w:jc w:val="both"/>
        <w:rPr>
          <w:rFonts w:ascii="Times New Roman" w:eastAsia="Calibri" w:hAnsi="Times New Roman" w:cs="Times New Roman"/>
          <w:i/>
          <w:sz w:val="24"/>
          <w:szCs w:val="24"/>
          <w:lang w:val="en-GB"/>
        </w:rPr>
      </w:pPr>
      <w:r w:rsidRPr="00D1660C">
        <w:rPr>
          <w:rFonts w:ascii="Times New Roman" w:eastAsia="Calibri" w:hAnsi="Times New Roman" w:cs="Times New Roman"/>
          <w:i/>
          <w:sz w:val="24"/>
          <w:szCs w:val="24"/>
          <w:lang w:val="en-GB"/>
        </w:rPr>
        <w:t>3.1 Data collection and sample</w:t>
      </w:r>
    </w:p>
    <w:p w14:paraId="2747862D" w14:textId="2AB39A9A" w:rsidR="00A315B9" w:rsidRDefault="006D7FCE" w:rsidP="0091010D">
      <w:pPr>
        <w:spacing w:line="480" w:lineRule="auto"/>
        <w:jc w:val="both"/>
        <w:rPr>
          <w:rFonts w:ascii="Times New Roman" w:eastAsia="Calibri" w:hAnsi="Times New Roman" w:cs="Times New Roman"/>
          <w:sz w:val="24"/>
          <w:szCs w:val="24"/>
          <w:lang w:val="en-GB"/>
        </w:rPr>
      </w:pPr>
      <w:r w:rsidRPr="00EB08C5">
        <w:rPr>
          <w:rFonts w:ascii="Times New Roman" w:eastAsia="Calibri" w:hAnsi="Times New Roman" w:cs="Times New Roman"/>
          <w:sz w:val="24"/>
          <w:szCs w:val="24"/>
          <w:lang w:val="en-GB"/>
        </w:rPr>
        <w:t xml:space="preserve">Our sample consists of firms </w:t>
      </w:r>
      <w:r w:rsidR="003A7E7A" w:rsidRPr="00EB08C5">
        <w:rPr>
          <w:rFonts w:ascii="Times New Roman" w:eastAsia="Calibri" w:hAnsi="Times New Roman" w:cs="Times New Roman"/>
          <w:sz w:val="24"/>
          <w:szCs w:val="24"/>
          <w:lang w:val="en-GB"/>
        </w:rPr>
        <w:t xml:space="preserve">with headquarters </w:t>
      </w:r>
      <w:r w:rsidRPr="00EB08C5">
        <w:rPr>
          <w:rFonts w:ascii="Times New Roman" w:eastAsia="Calibri" w:hAnsi="Times New Roman" w:cs="Times New Roman"/>
          <w:sz w:val="24"/>
          <w:szCs w:val="24"/>
          <w:lang w:val="en-GB"/>
        </w:rPr>
        <w:t xml:space="preserve">in the United States that belong to </w:t>
      </w:r>
      <w:r w:rsidR="00915440" w:rsidRPr="00EB08C5">
        <w:rPr>
          <w:rFonts w:ascii="Times New Roman" w:eastAsia="Calibri" w:hAnsi="Times New Roman" w:cs="Times New Roman"/>
          <w:sz w:val="24"/>
          <w:szCs w:val="24"/>
          <w:lang w:val="en-GB"/>
        </w:rPr>
        <w:t xml:space="preserve">environmental/social </w:t>
      </w:r>
      <w:r w:rsidRPr="00EB08C5">
        <w:rPr>
          <w:rFonts w:ascii="Times New Roman" w:eastAsia="Calibri" w:hAnsi="Times New Roman" w:cs="Times New Roman"/>
          <w:sz w:val="24"/>
          <w:szCs w:val="24"/>
          <w:lang w:val="en-GB"/>
        </w:rPr>
        <w:t>sensitive sector</w:t>
      </w:r>
      <w:r w:rsidR="003B2471" w:rsidRPr="00EB08C5">
        <w:rPr>
          <w:rFonts w:ascii="Times New Roman" w:eastAsia="Calibri" w:hAnsi="Times New Roman" w:cs="Times New Roman"/>
          <w:sz w:val="24"/>
          <w:szCs w:val="24"/>
          <w:lang w:val="en-GB"/>
        </w:rPr>
        <w:t>s</w:t>
      </w:r>
      <w:r w:rsidRPr="00EB08C5">
        <w:rPr>
          <w:rFonts w:ascii="Times New Roman" w:eastAsia="Calibri" w:hAnsi="Times New Roman" w:cs="Times New Roman"/>
          <w:sz w:val="24"/>
          <w:szCs w:val="24"/>
          <w:lang w:val="en-GB"/>
        </w:rPr>
        <w:t xml:space="preserve"> </w:t>
      </w:r>
      <w:r w:rsidR="003B2471" w:rsidRPr="00EB08C5">
        <w:rPr>
          <w:rFonts w:ascii="Times New Roman" w:eastAsia="Calibri" w:hAnsi="Times New Roman" w:cs="Times New Roman"/>
          <w:sz w:val="24"/>
          <w:szCs w:val="24"/>
          <w:lang w:val="en-GB"/>
        </w:rPr>
        <w:t>(</w:t>
      </w:r>
      <w:r w:rsidRPr="00EB08C5">
        <w:rPr>
          <w:rFonts w:ascii="Times New Roman" w:eastAsia="Calibri" w:hAnsi="Times New Roman" w:cs="Times New Roman"/>
          <w:sz w:val="24"/>
          <w:szCs w:val="24"/>
          <w:lang w:val="en-GB"/>
        </w:rPr>
        <w:t xml:space="preserve">identified by the U.S. Small Business Administration </w:t>
      </w:r>
      <w:r w:rsidR="00915440" w:rsidRPr="00EB08C5">
        <w:rPr>
          <w:rFonts w:ascii="Times New Roman" w:eastAsia="Calibri" w:hAnsi="Times New Roman" w:cs="Times New Roman"/>
          <w:sz w:val="24"/>
          <w:szCs w:val="24"/>
          <w:lang w:val="en-GB"/>
        </w:rPr>
        <w:t>or</w:t>
      </w:r>
      <w:r w:rsidRPr="00EB08C5">
        <w:rPr>
          <w:rFonts w:ascii="Times New Roman" w:eastAsia="Calibri" w:hAnsi="Times New Roman" w:cs="Times New Roman"/>
          <w:sz w:val="24"/>
          <w:szCs w:val="24"/>
          <w:lang w:val="en-GB"/>
        </w:rPr>
        <w:t xml:space="preserve"> </w:t>
      </w:r>
      <w:r w:rsidR="00B65ADE" w:rsidRPr="00EB08C5">
        <w:rPr>
          <w:rFonts w:ascii="Times New Roman" w:eastAsia="Calibri" w:hAnsi="Times New Roman" w:cs="Times New Roman"/>
          <w:sz w:val="24"/>
          <w:szCs w:val="24"/>
          <w:lang w:val="en-GB"/>
        </w:rPr>
        <w:t>Responsible Business Alliance</w:t>
      </w:r>
      <w:r w:rsidR="003B2471" w:rsidRPr="00EB08C5">
        <w:rPr>
          <w:rFonts w:ascii="Times New Roman" w:eastAsia="Calibri" w:hAnsi="Times New Roman" w:cs="Times New Roman"/>
          <w:sz w:val="24"/>
          <w:szCs w:val="24"/>
          <w:lang w:val="en-GB"/>
        </w:rPr>
        <w:t>)</w:t>
      </w:r>
      <w:r w:rsidR="00B65ADE" w:rsidRPr="00B65ADE">
        <w:rPr>
          <w:rFonts w:ascii="Times New Roman" w:eastAsia="Calibri" w:hAnsi="Times New Roman" w:cs="Times New Roman"/>
          <w:sz w:val="24"/>
          <w:szCs w:val="24"/>
          <w:lang w:val="en-GB"/>
        </w:rPr>
        <w:t xml:space="preserve"> </w:t>
      </w:r>
      <w:r w:rsidR="00B65ADE">
        <w:rPr>
          <w:rFonts w:ascii="Times New Roman" w:eastAsia="Calibri" w:hAnsi="Times New Roman" w:cs="Times New Roman"/>
          <w:sz w:val="24"/>
          <w:szCs w:val="24"/>
          <w:lang w:val="en-GB"/>
        </w:rPr>
        <w:t xml:space="preserve">and </w:t>
      </w:r>
      <w:r w:rsidR="0053577E">
        <w:rPr>
          <w:rFonts w:ascii="Times New Roman" w:eastAsia="Calibri" w:hAnsi="Times New Roman" w:cs="Times New Roman"/>
          <w:sz w:val="24"/>
          <w:szCs w:val="24"/>
          <w:lang w:val="en-GB"/>
        </w:rPr>
        <w:t>are listed</w:t>
      </w:r>
      <w:r>
        <w:rPr>
          <w:rFonts w:ascii="Times New Roman" w:eastAsia="Calibri" w:hAnsi="Times New Roman" w:cs="Times New Roman"/>
          <w:sz w:val="24"/>
          <w:szCs w:val="24"/>
          <w:lang w:val="en-GB"/>
        </w:rPr>
        <w:t xml:space="preserve"> in </w:t>
      </w:r>
      <w:proofErr w:type="spellStart"/>
      <w:r>
        <w:rPr>
          <w:rFonts w:ascii="Times New Roman" w:eastAsia="Calibri" w:hAnsi="Times New Roman" w:cs="Times New Roman"/>
          <w:sz w:val="24"/>
          <w:szCs w:val="24"/>
          <w:lang w:val="en-GB"/>
        </w:rPr>
        <w:t>Refinitiv</w:t>
      </w:r>
      <w:proofErr w:type="spellEnd"/>
      <w:r>
        <w:rPr>
          <w:rFonts w:ascii="Times New Roman" w:eastAsia="Calibri" w:hAnsi="Times New Roman" w:cs="Times New Roman"/>
          <w:sz w:val="24"/>
          <w:szCs w:val="24"/>
          <w:lang w:val="en-GB"/>
        </w:rPr>
        <w:t xml:space="preserve"> Eikon</w:t>
      </w:r>
      <w:r w:rsidRPr="00873B4D">
        <w:rPr>
          <w:rFonts w:ascii="Times New Roman" w:eastAsia="Calibri" w:hAnsi="Times New Roman" w:cs="Times New Roman"/>
          <w:sz w:val="24"/>
          <w:szCs w:val="24"/>
          <w:lang w:val="en-GB"/>
        </w:rPr>
        <w:t xml:space="preserve">, Standard and Poor’s </w:t>
      </w:r>
      <w:proofErr w:type="spellStart"/>
      <w:r w:rsidRPr="00873B4D">
        <w:rPr>
          <w:rFonts w:ascii="Times New Roman" w:eastAsia="Calibri" w:hAnsi="Times New Roman" w:cs="Times New Roman"/>
          <w:sz w:val="24"/>
          <w:szCs w:val="24"/>
          <w:lang w:val="en-GB"/>
        </w:rPr>
        <w:t>Compustat</w:t>
      </w:r>
      <w:proofErr w:type="spellEnd"/>
      <w:r w:rsidR="003A7E7A">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 and Bloomberg</w:t>
      </w:r>
      <w:r>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w:t>
      </w:r>
      <w:proofErr w:type="spellStart"/>
      <w:r w:rsidR="0091010D">
        <w:rPr>
          <w:rFonts w:ascii="Times New Roman" w:eastAsia="Calibri" w:hAnsi="Times New Roman" w:cs="Times New Roman"/>
          <w:sz w:val="24"/>
          <w:szCs w:val="24"/>
          <w:lang w:val="en-GB"/>
        </w:rPr>
        <w:t>Refinitiv</w:t>
      </w:r>
      <w:proofErr w:type="spellEnd"/>
      <w:r w:rsidR="0091010D">
        <w:rPr>
          <w:rFonts w:ascii="Times New Roman" w:eastAsia="Calibri" w:hAnsi="Times New Roman" w:cs="Times New Roman"/>
          <w:sz w:val="24"/>
          <w:szCs w:val="24"/>
          <w:lang w:val="en-GB"/>
        </w:rPr>
        <w:t xml:space="preserve"> Eikon</w:t>
      </w:r>
      <w:r w:rsidR="0091010D" w:rsidRPr="00873B4D">
        <w:rPr>
          <w:rFonts w:ascii="Times New Roman" w:eastAsia="Calibri" w:hAnsi="Times New Roman" w:cs="Times New Roman"/>
          <w:sz w:val="24"/>
          <w:szCs w:val="24"/>
          <w:lang w:val="en-GB"/>
        </w:rPr>
        <w:t xml:space="preserve"> (pr</w:t>
      </w:r>
      <w:r w:rsidR="0091010D">
        <w:rPr>
          <w:rFonts w:ascii="Times New Roman" w:eastAsia="Calibri" w:hAnsi="Times New Roman" w:cs="Times New Roman"/>
          <w:sz w:val="24"/>
          <w:szCs w:val="24"/>
          <w:lang w:val="en-GB"/>
        </w:rPr>
        <w:t>eviously</w:t>
      </w:r>
      <w:r w:rsidR="0091010D" w:rsidRPr="00873B4D">
        <w:rPr>
          <w:rFonts w:ascii="Times New Roman" w:eastAsia="Calibri" w:hAnsi="Times New Roman" w:cs="Times New Roman"/>
          <w:sz w:val="24"/>
          <w:szCs w:val="24"/>
          <w:lang w:val="en-GB"/>
        </w:rPr>
        <w:t xml:space="preserve"> Asset4</w:t>
      </w:r>
      <w:r w:rsidR="0091010D">
        <w:rPr>
          <w:rFonts w:ascii="Times New Roman" w:eastAsia="Calibri" w:hAnsi="Times New Roman" w:cs="Times New Roman"/>
          <w:sz w:val="24"/>
          <w:szCs w:val="24"/>
          <w:lang w:val="en-GB"/>
        </w:rPr>
        <w:t xml:space="preserve"> Thomson Reuters</w:t>
      </w:r>
      <w:r w:rsidR="0091010D" w:rsidRPr="00873B4D">
        <w:rPr>
          <w:rFonts w:ascii="Times New Roman" w:eastAsia="Calibri" w:hAnsi="Times New Roman" w:cs="Times New Roman"/>
          <w:sz w:val="24"/>
          <w:szCs w:val="24"/>
          <w:lang w:val="en-GB"/>
        </w:rPr>
        <w:t xml:space="preserve">) provides sustainability information </w:t>
      </w:r>
      <w:r w:rsidR="0091010D">
        <w:rPr>
          <w:rFonts w:ascii="Times New Roman" w:eastAsia="Calibri" w:hAnsi="Times New Roman" w:cs="Times New Roman"/>
          <w:sz w:val="24"/>
          <w:szCs w:val="24"/>
          <w:lang w:val="en-GB"/>
        </w:rPr>
        <w:t xml:space="preserve">that is predominantly </w:t>
      </w:r>
      <w:r w:rsidR="0091010D" w:rsidRPr="00873B4D">
        <w:rPr>
          <w:rFonts w:ascii="Times New Roman" w:eastAsia="Calibri" w:hAnsi="Times New Roman" w:cs="Times New Roman"/>
          <w:sz w:val="24"/>
          <w:szCs w:val="24"/>
          <w:lang w:val="en-GB"/>
        </w:rPr>
        <w:t xml:space="preserve">derived from </w:t>
      </w:r>
      <w:r w:rsidR="00042599">
        <w:rPr>
          <w:rFonts w:ascii="Times New Roman" w:eastAsia="Calibri" w:hAnsi="Times New Roman" w:cs="Times New Roman"/>
          <w:sz w:val="24"/>
          <w:szCs w:val="24"/>
          <w:lang w:val="en-GB"/>
        </w:rPr>
        <w:t>companies’</w:t>
      </w:r>
      <w:r w:rsidR="00042599" w:rsidRPr="00873B4D">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 xml:space="preserve">annual reports, CSR reports, </w:t>
      </w:r>
      <w:r w:rsidR="00042599">
        <w:rPr>
          <w:rFonts w:ascii="Times New Roman" w:eastAsia="Calibri" w:hAnsi="Times New Roman" w:cs="Times New Roman"/>
          <w:sz w:val="24"/>
          <w:szCs w:val="24"/>
          <w:lang w:val="en-GB"/>
        </w:rPr>
        <w:t>i</w:t>
      </w:r>
      <w:r w:rsidR="00042599" w:rsidRPr="00873B4D">
        <w:rPr>
          <w:rFonts w:ascii="Times New Roman" w:eastAsia="Calibri" w:hAnsi="Times New Roman" w:cs="Times New Roman"/>
          <w:sz w:val="24"/>
          <w:szCs w:val="24"/>
          <w:lang w:val="en-GB"/>
        </w:rPr>
        <w:t xml:space="preserve">ntergovernmental </w:t>
      </w:r>
      <w:r w:rsidR="00042599">
        <w:rPr>
          <w:rFonts w:ascii="Times New Roman" w:eastAsia="Calibri" w:hAnsi="Times New Roman" w:cs="Times New Roman"/>
          <w:sz w:val="24"/>
          <w:szCs w:val="24"/>
          <w:lang w:val="en-GB"/>
        </w:rPr>
        <w:t>a</w:t>
      </w:r>
      <w:r w:rsidR="00042599" w:rsidRPr="00873B4D">
        <w:rPr>
          <w:rFonts w:ascii="Times New Roman" w:eastAsia="Calibri" w:hAnsi="Times New Roman" w:cs="Times New Roman"/>
          <w:sz w:val="24"/>
          <w:szCs w:val="24"/>
          <w:lang w:val="en-GB"/>
        </w:rPr>
        <w:t>gencies</w:t>
      </w:r>
      <w:r w:rsidR="00042599">
        <w:rPr>
          <w:rFonts w:ascii="Times New Roman" w:eastAsia="Calibri" w:hAnsi="Times New Roman" w:cs="Times New Roman"/>
          <w:sz w:val="24"/>
          <w:szCs w:val="24"/>
          <w:lang w:val="en-GB"/>
        </w:rPr>
        <w:t>,</w:t>
      </w:r>
      <w:r w:rsidR="00042599" w:rsidRPr="00873B4D">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 xml:space="preserve">and </w:t>
      </w:r>
      <w:r w:rsidR="00042599" w:rsidRPr="00873B4D">
        <w:rPr>
          <w:rFonts w:ascii="Times New Roman" w:eastAsia="Calibri" w:hAnsi="Times New Roman" w:cs="Times New Roman"/>
          <w:sz w:val="24"/>
          <w:szCs w:val="24"/>
          <w:lang w:val="en-GB"/>
        </w:rPr>
        <w:t>NG</w:t>
      </w:r>
      <w:r w:rsidR="00042599">
        <w:rPr>
          <w:rFonts w:ascii="Times New Roman" w:eastAsia="Calibri" w:hAnsi="Times New Roman" w:cs="Times New Roman"/>
          <w:sz w:val="24"/>
          <w:szCs w:val="24"/>
          <w:lang w:val="en-GB"/>
        </w:rPr>
        <w:t>O</w:t>
      </w:r>
      <w:r w:rsidR="00042599" w:rsidRPr="00873B4D">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 xml:space="preserve">websites. It contains relevant data on environmental and social sustainability dimensions associated </w:t>
      </w:r>
      <w:r w:rsidR="0091010D">
        <w:rPr>
          <w:rFonts w:ascii="Times New Roman" w:eastAsia="Calibri" w:hAnsi="Times New Roman" w:cs="Times New Roman"/>
          <w:sz w:val="24"/>
          <w:szCs w:val="24"/>
          <w:lang w:val="en-GB"/>
        </w:rPr>
        <w:t>with</w:t>
      </w:r>
      <w:r w:rsidR="0091010D" w:rsidRPr="00873B4D">
        <w:rPr>
          <w:rFonts w:ascii="Times New Roman" w:eastAsia="Calibri" w:hAnsi="Times New Roman" w:cs="Times New Roman"/>
          <w:sz w:val="24"/>
          <w:szCs w:val="24"/>
          <w:lang w:val="en-GB"/>
        </w:rPr>
        <w:t xml:space="preserve"> emission reduction, resource reduction, health and safety</w:t>
      </w:r>
      <w:r w:rsidR="0091010D">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and human rights, among others. Within the </w:t>
      </w:r>
      <w:proofErr w:type="spellStart"/>
      <w:r w:rsidR="0091010D" w:rsidRPr="00873B4D">
        <w:rPr>
          <w:rFonts w:ascii="Times New Roman" w:eastAsia="Calibri" w:hAnsi="Times New Roman" w:cs="Times New Roman"/>
          <w:sz w:val="24"/>
          <w:szCs w:val="24"/>
          <w:lang w:val="en-GB"/>
        </w:rPr>
        <w:t>Compustat</w:t>
      </w:r>
      <w:proofErr w:type="spellEnd"/>
      <w:r w:rsidR="0091010D" w:rsidRPr="00873B4D">
        <w:rPr>
          <w:rFonts w:ascii="Times New Roman" w:eastAsia="Calibri" w:hAnsi="Times New Roman" w:cs="Times New Roman"/>
          <w:sz w:val="24"/>
          <w:szCs w:val="24"/>
          <w:lang w:val="en-GB"/>
        </w:rPr>
        <w:t xml:space="preserve"> datasets, we extract information from </w:t>
      </w:r>
      <w:proofErr w:type="spellStart"/>
      <w:r w:rsidR="0091010D" w:rsidRPr="00873B4D">
        <w:rPr>
          <w:rFonts w:ascii="Times New Roman" w:eastAsia="Calibri" w:hAnsi="Times New Roman" w:cs="Times New Roman"/>
          <w:sz w:val="24"/>
          <w:szCs w:val="24"/>
          <w:lang w:val="en-GB"/>
        </w:rPr>
        <w:t>Compustat</w:t>
      </w:r>
      <w:proofErr w:type="spellEnd"/>
      <w:r w:rsidR="0091010D" w:rsidRPr="00873B4D">
        <w:rPr>
          <w:rFonts w:ascii="Times New Roman" w:eastAsia="Calibri" w:hAnsi="Times New Roman" w:cs="Times New Roman"/>
          <w:sz w:val="24"/>
          <w:szCs w:val="24"/>
          <w:lang w:val="en-GB"/>
        </w:rPr>
        <w:t xml:space="preserve"> North America and </w:t>
      </w:r>
      <w:proofErr w:type="spellStart"/>
      <w:r w:rsidR="0091010D" w:rsidRPr="00873B4D">
        <w:rPr>
          <w:rFonts w:ascii="Times New Roman" w:eastAsia="Calibri" w:hAnsi="Times New Roman" w:cs="Times New Roman"/>
          <w:sz w:val="24"/>
          <w:szCs w:val="24"/>
          <w:lang w:val="en-GB"/>
        </w:rPr>
        <w:t>Compustat</w:t>
      </w:r>
      <w:proofErr w:type="spellEnd"/>
      <w:r w:rsidR="0091010D" w:rsidRPr="00873B4D">
        <w:rPr>
          <w:rFonts w:ascii="Times New Roman" w:eastAsia="Calibri" w:hAnsi="Times New Roman" w:cs="Times New Roman"/>
          <w:sz w:val="24"/>
          <w:szCs w:val="24"/>
          <w:lang w:val="en-GB"/>
        </w:rPr>
        <w:t xml:space="preserve"> Segment. </w:t>
      </w:r>
      <w:r w:rsidR="0091010D">
        <w:rPr>
          <w:rFonts w:ascii="Times New Roman" w:eastAsia="Calibri" w:hAnsi="Times New Roman" w:cs="Times New Roman"/>
          <w:sz w:val="24"/>
          <w:szCs w:val="24"/>
          <w:lang w:val="en-GB"/>
        </w:rPr>
        <w:t xml:space="preserve">While </w:t>
      </w:r>
      <w:proofErr w:type="spellStart"/>
      <w:r w:rsidR="0091010D" w:rsidRPr="00873B4D">
        <w:rPr>
          <w:rFonts w:ascii="Times New Roman" w:eastAsia="Calibri" w:hAnsi="Times New Roman" w:cs="Times New Roman"/>
          <w:sz w:val="24"/>
          <w:szCs w:val="24"/>
          <w:lang w:val="en-GB"/>
        </w:rPr>
        <w:t>Compustat</w:t>
      </w:r>
      <w:proofErr w:type="spellEnd"/>
      <w:r w:rsidR="0091010D" w:rsidRPr="00873B4D">
        <w:rPr>
          <w:rFonts w:ascii="Times New Roman" w:eastAsia="Calibri" w:hAnsi="Times New Roman" w:cs="Times New Roman"/>
          <w:sz w:val="24"/>
          <w:szCs w:val="24"/>
          <w:lang w:val="en-GB"/>
        </w:rPr>
        <w:t xml:space="preserve"> North America contains the financial information of publicly held companies</w:t>
      </w:r>
      <w:r w:rsidR="0091010D">
        <w:rPr>
          <w:rFonts w:ascii="Times New Roman" w:eastAsia="Calibri" w:hAnsi="Times New Roman" w:cs="Times New Roman"/>
          <w:sz w:val="24"/>
          <w:szCs w:val="24"/>
          <w:lang w:val="en-GB"/>
        </w:rPr>
        <w:t xml:space="preserve">, </w:t>
      </w:r>
      <w:proofErr w:type="spellStart"/>
      <w:r w:rsidR="0091010D" w:rsidRPr="00873B4D">
        <w:rPr>
          <w:rFonts w:ascii="Times New Roman" w:eastAsia="Calibri" w:hAnsi="Times New Roman" w:cs="Times New Roman"/>
          <w:sz w:val="24"/>
          <w:szCs w:val="24"/>
          <w:lang w:val="en-GB"/>
        </w:rPr>
        <w:t>Compustat</w:t>
      </w:r>
      <w:proofErr w:type="spellEnd"/>
      <w:r w:rsidR="0091010D" w:rsidRPr="00873B4D">
        <w:rPr>
          <w:rFonts w:ascii="Times New Roman" w:eastAsia="Calibri" w:hAnsi="Times New Roman" w:cs="Times New Roman"/>
          <w:sz w:val="24"/>
          <w:szCs w:val="24"/>
          <w:lang w:val="en-GB"/>
        </w:rPr>
        <w:t xml:space="preserve"> Segment </w:t>
      </w:r>
      <w:r w:rsidR="0091010D">
        <w:rPr>
          <w:rFonts w:ascii="Times New Roman" w:eastAsia="Calibri" w:hAnsi="Times New Roman" w:cs="Times New Roman"/>
          <w:sz w:val="24"/>
          <w:szCs w:val="24"/>
          <w:lang w:val="en-GB"/>
        </w:rPr>
        <w:t>encompasses</w:t>
      </w:r>
      <w:r w:rsidR="0091010D" w:rsidRPr="00873B4D">
        <w:rPr>
          <w:rFonts w:ascii="Times New Roman" w:eastAsia="Calibri" w:hAnsi="Times New Roman" w:cs="Times New Roman"/>
          <w:sz w:val="24"/>
          <w:szCs w:val="24"/>
          <w:lang w:val="en-GB"/>
        </w:rPr>
        <w:t xml:space="preserve"> customer data for about </w:t>
      </w:r>
      <w:r w:rsidR="0091010D">
        <w:rPr>
          <w:rFonts w:ascii="Times New Roman" w:eastAsia="Calibri" w:hAnsi="Times New Roman" w:cs="Times New Roman"/>
          <w:sz w:val="24"/>
          <w:szCs w:val="24"/>
          <w:lang w:val="en-GB"/>
        </w:rPr>
        <w:t>70</w:t>
      </w:r>
      <w:r w:rsidR="00042599">
        <w:rPr>
          <w:rFonts w:ascii="Times New Roman" w:eastAsia="Calibri" w:hAnsi="Times New Roman" w:cs="Times New Roman"/>
          <w:sz w:val="24"/>
          <w:szCs w:val="24"/>
          <w:lang w:val="en-GB"/>
        </w:rPr>
        <w:t>%</w:t>
      </w:r>
      <w:r w:rsidR="0091010D">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 xml:space="preserve">of the listed companies in </w:t>
      </w:r>
      <w:proofErr w:type="spellStart"/>
      <w:r w:rsidR="0091010D" w:rsidRPr="00873B4D">
        <w:rPr>
          <w:rFonts w:ascii="Times New Roman" w:eastAsia="Calibri" w:hAnsi="Times New Roman" w:cs="Times New Roman"/>
          <w:sz w:val="24"/>
          <w:szCs w:val="24"/>
          <w:lang w:val="en-GB"/>
        </w:rPr>
        <w:t>Compustat</w:t>
      </w:r>
      <w:proofErr w:type="spellEnd"/>
      <w:r w:rsidR="0091010D" w:rsidRPr="00873B4D">
        <w:rPr>
          <w:rFonts w:ascii="Times New Roman" w:eastAsia="Calibri" w:hAnsi="Times New Roman" w:cs="Times New Roman"/>
          <w:sz w:val="24"/>
          <w:szCs w:val="24"/>
          <w:lang w:val="en-GB"/>
        </w:rPr>
        <w:t xml:space="preserve"> North America. </w:t>
      </w:r>
      <w:r w:rsidR="0091010D">
        <w:rPr>
          <w:rFonts w:ascii="Times New Roman" w:eastAsia="Calibri" w:hAnsi="Times New Roman" w:cs="Times New Roman"/>
          <w:sz w:val="24"/>
          <w:szCs w:val="24"/>
          <w:lang w:val="en-GB"/>
        </w:rPr>
        <w:t>C</w:t>
      </w:r>
      <w:r w:rsidR="0091010D" w:rsidRPr="00873B4D">
        <w:rPr>
          <w:rFonts w:ascii="Times New Roman" w:eastAsia="Calibri" w:hAnsi="Times New Roman" w:cs="Times New Roman"/>
          <w:sz w:val="24"/>
          <w:szCs w:val="24"/>
          <w:lang w:val="en-GB"/>
        </w:rPr>
        <w:t xml:space="preserve">ustomer data comes from the information reported by the suppliers in file FASB No. 131’s major customer disclosure, </w:t>
      </w:r>
      <w:r w:rsidR="0091010D">
        <w:rPr>
          <w:rFonts w:ascii="Times New Roman" w:eastAsia="Calibri" w:hAnsi="Times New Roman" w:cs="Times New Roman"/>
          <w:sz w:val="24"/>
          <w:szCs w:val="24"/>
          <w:lang w:val="en-GB"/>
        </w:rPr>
        <w:t>in which it is</w:t>
      </w:r>
      <w:r w:rsidR="0091010D" w:rsidRPr="00873B4D">
        <w:rPr>
          <w:rFonts w:ascii="Times New Roman" w:eastAsia="Calibri" w:hAnsi="Times New Roman" w:cs="Times New Roman"/>
          <w:sz w:val="24"/>
          <w:szCs w:val="24"/>
          <w:lang w:val="en-GB"/>
        </w:rPr>
        <w:t xml:space="preserve"> mandatory for suppliers to identify and report all buying firms that account for 10</w:t>
      </w:r>
      <w:r w:rsidR="00042599">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or more of their total sales. The historical tracking of these interfirm relationships started in </w:t>
      </w:r>
      <w:r w:rsidR="0091010D">
        <w:rPr>
          <w:rFonts w:ascii="Times New Roman" w:eastAsia="Calibri" w:hAnsi="Times New Roman" w:cs="Times New Roman"/>
          <w:sz w:val="24"/>
          <w:szCs w:val="24"/>
          <w:lang w:val="en-GB"/>
        </w:rPr>
        <w:t xml:space="preserve">the </w:t>
      </w:r>
      <w:r w:rsidR="0091010D" w:rsidRPr="00873B4D">
        <w:rPr>
          <w:rFonts w:ascii="Times New Roman" w:eastAsia="Calibri" w:hAnsi="Times New Roman" w:cs="Times New Roman"/>
          <w:sz w:val="24"/>
          <w:szCs w:val="24"/>
          <w:lang w:val="en-GB"/>
        </w:rPr>
        <w:t xml:space="preserve">late </w:t>
      </w:r>
      <w:r w:rsidR="0091010D">
        <w:rPr>
          <w:rFonts w:ascii="Times New Roman" w:eastAsia="Calibri" w:hAnsi="Times New Roman" w:cs="Times New Roman"/>
          <w:sz w:val="24"/>
          <w:szCs w:val="24"/>
          <w:lang w:val="en-GB"/>
        </w:rPr>
        <w:t>19</w:t>
      </w:r>
      <w:r w:rsidR="0091010D" w:rsidRPr="00873B4D">
        <w:rPr>
          <w:rFonts w:ascii="Times New Roman" w:eastAsia="Calibri" w:hAnsi="Times New Roman" w:cs="Times New Roman"/>
          <w:sz w:val="24"/>
          <w:szCs w:val="24"/>
          <w:lang w:val="en-GB"/>
        </w:rPr>
        <w:t xml:space="preserve">70s, being primarily U.S. suppliers. Lastly, Bloomberg provides interfirm relationship information through the </w:t>
      </w:r>
      <w:r w:rsidR="0091010D" w:rsidRPr="00EC0130">
        <w:rPr>
          <w:rFonts w:ascii="Times New Roman" w:eastAsia="Calibri" w:hAnsi="Times New Roman" w:cs="Times New Roman"/>
          <w:i/>
          <w:sz w:val="24"/>
          <w:szCs w:val="24"/>
          <w:lang w:val="en-GB"/>
        </w:rPr>
        <w:t>Supply Chain Function</w:t>
      </w:r>
      <w:r w:rsidR="00EC0130">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as </w:t>
      </w:r>
      <w:r w:rsidR="0091010D">
        <w:rPr>
          <w:rFonts w:ascii="Times New Roman" w:eastAsia="Calibri" w:hAnsi="Times New Roman" w:cs="Times New Roman"/>
          <w:sz w:val="24"/>
          <w:szCs w:val="24"/>
          <w:lang w:val="en-GB"/>
        </w:rPr>
        <w:t xml:space="preserve">a </w:t>
      </w:r>
      <w:r w:rsidR="0091010D" w:rsidRPr="00873B4D">
        <w:rPr>
          <w:rFonts w:ascii="Times New Roman" w:eastAsia="Calibri" w:hAnsi="Times New Roman" w:cs="Times New Roman"/>
          <w:sz w:val="24"/>
          <w:szCs w:val="24"/>
          <w:lang w:val="en-GB"/>
        </w:rPr>
        <w:t xml:space="preserve">snapshot of </w:t>
      </w:r>
      <w:r w:rsidR="0053577E">
        <w:rPr>
          <w:rFonts w:ascii="Times New Roman" w:eastAsia="Calibri" w:hAnsi="Times New Roman" w:cs="Times New Roman"/>
          <w:sz w:val="24"/>
          <w:szCs w:val="24"/>
          <w:lang w:val="en-GB"/>
        </w:rPr>
        <w:t xml:space="preserve">the </w:t>
      </w:r>
      <w:r w:rsidR="0091010D" w:rsidRPr="00873B4D">
        <w:rPr>
          <w:rFonts w:ascii="Times New Roman" w:eastAsia="Calibri" w:hAnsi="Times New Roman" w:cs="Times New Roman"/>
          <w:sz w:val="24"/>
          <w:szCs w:val="24"/>
          <w:lang w:val="en-GB"/>
        </w:rPr>
        <w:t xml:space="preserve">money flows between firms </w:t>
      </w:r>
      <w:r w:rsidR="0091010D">
        <w:rPr>
          <w:rFonts w:ascii="Times New Roman" w:eastAsia="Calibri" w:hAnsi="Times New Roman" w:cs="Times New Roman"/>
          <w:sz w:val="24"/>
          <w:szCs w:val="24"/>
          <w:lang w:val="en-GB"/>
        </w:rPr>
        <w:t>over</w:t>
      </w:r>
      <w:r w:rsidR="0091010D" w:rsidRPr="00873B4D">
        <w:rPr>
          <w:rFonts w:ascii="Times New Roman" w:eastAsia="Calibri" w:hAnsi="Times New Roman" w:cs="Times New Roman"/>
          <w:sz w:val="24"/>
          <w:szCs w:val="24"/>
          <w:lang w:val="en-GB"/>
        </w:rPr>
        <w:t xml:space="preserve"> recent years</w:t>
      </w:r>
      <w:r w:rsidR="00B07B9F">
        <w:rPr>
          <w:rFonts w:ascii="Times New Roman" w:eastAsia="Calibri" w:hAnsi="Times New Roman" w:cs="Times New Roman"/>
          <w:sz w:val="24"/>
          <w:szCs w:val="24"/>
          <w:lang w:val="en-GB"/>
        </w:rPr>
        <w:t xml:space="preserve"> using the option “as date”</w:t>
      </w:r>
      <w:r w:rsidR="0091010D" w:rsidRPr="00873B4D">
        <w:rPr>
          <w:rFonts w:ascii="Times New Roman" w:eastAsia="Calibri" w:hAnsi="Times New Roman" w:cs="Times New Roman"/>
          <w:sz w:val="24"/>
          <w:szCs w:val="24"/>
          <w:lang w:val="en-GB"/>
        </w:rPr>
        <w:t xml:space="preserve">. In this source, relationship information is collected </w:t>
      </w:r>
      <w:r w:rsidR="00042599">
        <w:rPr>
          <w:rFonts w:ascii="Times New Roman" w:eastAsia="Calibri" w:hAnsi="Times New Roman" w:cs="Times New Roman"/>
          <w:sz w:val="24"/>
          <w:szCs w:val="24"/>
          <w:lang w:val="en-GB"/>
        </w:rPr>
        <w:t xml:space="preserve">not only </w:t>
      </w:r>
      <w:r w:rsidR="0091010D">
        <w:rPr>
          <w:rFonts w:ascii="Times New Roman" w:eastAsia="Calibri" w:hAnsi="Times New Roman" w:cs="Times New Roman"/>
          <w:sz w:val="24"/>
          <w:szCs w:val="24"/>
          <w:lang w:val="en-GB"/>
        </w:rPr>
        <w:lastRenderedPageBreak/>
        <w:t>from public registry files</w:t>
      </w:r>
      <w:r w:rsidR="0091010D" w:rsidRPr="00873B4D">
        <w:rPr>
          <w:rFonts w:ascii="Times New Roman" w:eastAsia="Calibri" w:hAnsi="Times New Roman" w:cs="Times New Roman"/>
          <w:sz w:val="24"/>
          <w:szCs w:val="24"/>
          <w:lang w:val="en-GB"/>
        </w:rPr>
        <w:t xml:space="preserve"> but also from</w:t>
      </w:r>
      <w:r w:rsidR="0091010D">
        <w:rPr>
          <w:rFonts w:ascii="Times New Roman" w:eastAsia="Calibri" w:hAnsi="Times New Roman" w:cs="Times New Roman"/>
          <w:sz w:val="24"/>
          <w:szCs w:val="24"/>
          <w:lang w:val="en-GB"/>
        </w:rPr>
        <w:t xml:space="preserve"> news and firms’ announcements,</w:t>
      </w:r>
      <w:r w:rsidR="0091010D" w:rsidRPr="00873B4D">
        <w:rPr>
          <w:rFonts w:ascii="Times New Roman" w:eastAsia="Calibri" w:hAnsi="Times New Roman" w:cs="Times New Roman"/>
          <w:sz w:val="24"/>
          <w:szCs w:val="24"/>
          <w:lang w:val="en-GB"/>
        </w:rPr>
        <w:t xml:space="preserve"> </w:t>
      </w:r>
      <w:r w:rsidR="00042599">
        <w:rPr>
          <w:rFonts w:ascii="Times New Roman" w:eastAsia="Calibri" w:hAnsi="Times New Roman" w:cs="Times New Roman"/>
          <w:sz w:val="24"/>
          <w:szCs w:val="24"/>
          <w:lang w:val="en-GB"/>
        </w:rPr>
        <w:t xml:space="preserve">including </w:t>
      </w:r>
      <w:r w:rsidR="0091010D" w:rsidRPr="00873B4D">
        <w:rPr>
          <w:rFonts w:ascii="Times New Roman" w:eastAsia="Calibri" w:hAnsi="Times New Roman" w:cs="Times New Roman"/>
          <w:sz w:val="24"/>
          <w:szCs w:val="24"/>
          <w:lang w:val="en-GB"/>
        </w:rPr>
        <w:t xml:space="preserve">non-U.S. suppliers. </w:t>
      </w:r>
    </w:p>
    <w:p w14:paraId="539C84BE" w14:textId="3CDF090A" w:rsidR="00AA7581" w:rsidRDefault="009E68D6" w:rsidP="0091010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To identify the buyer’s top supplier</w:t>
      </w:r>
      <w:r w:rsidR="00B20BDD">
        <w:rPr>
          <w:rFonts w:ascii="Times New Roman" w:eastAsia="Calibri" w:hAnsi="Times New Roman" w:cs="Times New Roman"/>
          <w:sz w:val="24"/>
          <w:szCs w:val="24"/>
          <w:lang w:val="en-GB"/>
        </w:rPr>
        <w:t xml:space="preserve"> </w:t>
      </w:r>
      <w:r w:rsidR="00915440">
        <w:rPr>
          <w:rFonts w:ascii="Times New Roman" w:eastAsia="Calibri" w:hAnsi="Times New Roman" w:cs="Times New Roman"/>
          <w:sz w:val="24"/>
          <w:szCs w:val="24"/>
          <w:lang w:val="en-GB"/>
        </w:rPr>
        <w:t xml:space="preserve">and </w:t>
      </w:r>
      <w:r w:rsidR="00B20BDD">
        <w:rPr>
          <w:rFonts w:ascii="Times New Roman" w:eastAsia="Calibri" w:hAnsi="Times New Roman" w:cs="Times New Roman"/>
          <w:sz w:val="24"/>
          <w:szCs w:val="24"/>
          <w:lang w:val="en-GB"/>
        </w:rPr>
        <w:t>build the dyadic relationship</w:t>
      </w:r>
      <w:r>
        <w:rPr>
          <w:rFonts w:ascii="Times New Roman" w:eastAsia="Calibri" w:hAnsi="Times New Roman" w:cs="Times New Roman"/>
          <w:sz w:val="24"/>
          <w:szCs w:val="24"/>
          <w:lang w:val="en-GB"/>
        </w:rPr>
        <w:t xml:space="preserve">, </w:t>
      </w:r>
      <w:r w:rsidR="00A315B9">
        <w:rPr>
          <w:rFonts w:ascii="Times New Roman" w:eastAsia="Calibri" w:hAnsi="Times New Roman" w:cs="Times New Roman"/>
          <w:sz w:val="24"/>
          <w:szCs w:val="24"/>
          <w:lang w:val="en-GB"/>
        </w:rPr>
        <w:t xml:space="preserve">which </w:t>
      </w:r>
      <w:r w:rsidR="00C92EDF">
        <w:rPr>
          <w:rFonts w:ascii="Times New Roman" w:eastAsia="Calibri" w:hAnsi="Times New Roman" w:cs="Times New Roman"/>
          <w:sz w:val="24"/>
          <w:szCs w:val="24"/>
          <w:lang w:val="en-GB"/>
        </w:rPr>
        <w:t>is</w:t>
      </w:r>
      <w:r w:rsidR="00A315B9">
        <w:rPr>
          <w:rFonts w:ascii="Times New Roman" w:eastAsia="Calibri" w:hAnsi="Times New Roman" w:cs="Times New Roman"/>
          <w:sz w:val="24"/>
          <w:szCs w:val="24"/>
          <w:lang w:val="en-GB"/>
        </w:rPr>
        <w:t xml:space="preserve"> the unit of analysis, </w:t>
      </w:r>
      <w:r>
        <w:rPr>
          <w:rFonts w:ascii="Times New Roman" w:eastAsia="Calibri" w:hAnsi="Times New Roman" w:cs="Times New Roman"/>
          <w:sz w:val="24"/>
          <w:szCs w:val="24"/>
          <w:lang w:val="en-GB"/>
        </w:rPr>
        <w:t xml:space="preserve">we </w:t>
      </w:r>
      <w:r w:rsidR="00435588">
        <w:rPr>
          <w:rFonts w:ascii="Times New Roman" w:eastAsia="Calibri" w:hAnsi="Times New Roman" w:cs="Times New Roman"/>
          <w:sz w:val="24"/>
          <w:szCs w:val="24"/>
          <w:lang w:val="en-GB"/>
        </w:rPr>
        <w:t>supplement</w:t>
      </w:r>
      <w:r w:rsidR="003B2471">
        <w:rPr>
          <w:rFonts w:ascii="Times New Roman" w:eastAsia="Calibri" w:hAnsi="Times New Roman" w:cs="Times New Roman"/>
          <w:sz w:val="24"/>
          <w:szCs w:val="24"/>
          <w:lang w:val="en-GB"/>
        </w:rPr>
        <w:t>ed</w:t>
      </w:r>
      <w:r w:rsidR="00435588">
        <w:rPr>
          <w:rFonts w:ascii="Times New Roman" w:eastAsia="Calibri" w:hAnsi="Times New Roman" w:cs="Times New Roman"/>
          <w:sz w:val="24"/>
          <w:szCs w:val="24"/>
          <w:lang w:val="en-GB"/>
        </w:rPr>
        <w:t xml:space="preserve"> the</w:t>
      </w:r>
      <w:r>
        <w:rPr>
          <w:rFonts w:ascii="Times New Roman" w:eastAsia="Calibri" w:hAnsi="Times New Roman" w:cs="Times New Roman"/>
          <w:sz w:val="24"/>
          <w:szCs w:val="24"/>
          <w:lang w:val="en-GB"/>
        </w:rPr>
        <w:t xml:space="preserve"> inter</w:t>
      </w:r>
      <w:r w:rsidR="00435588">
        <w:rPr>
          <w:rFonts w:ascii="Times New Roman" w:eastAsia="Calibri" w:hAnsi="Times New Roman" w:cs="Times New Roman"/>
          <w:sz w:val="24"/>
          <w:szCs w:val="24"/>
          <w:lang w:val="en-GB"/>
        </w:rPr>
        <w:t>firm relationships</w:t>
      </w:r>
      <w:r>
        <w:rPr>
          <w:rFonts w:ascii="Times New Roman" w:eastAsia="Calibri" w:hAnsi="Times New Roman" w:cs="Times New Roman"/>
          <w:sz w:val="24"/>
          <w:szCs w:val="24"/>
          <w:lang w:val="en-GB"/>
        </w:rPr>
        <w:t xml:space="preserve"> data from</w:t>
      </w:r>
      <w:r w:rsidR="00042599">
        <w:rPr>
          <w:rFonts w:ascii="Times New Roman" w:eastAsia="Calibri" w:hAnsi="Times New Roman" w:cs="Times New Roman"/>
          <w:sz w:val="24"/>
          <w:szCs w:val="24"/>
          <w:lang w:val="en-GB"/>
        </w:rPr>
        <w:t xml:space="preserve"> the</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Compustat</w:t>
      </w:r>
      <w:proofErr w:type="spellEnd"/>
      <w:r>
        <w:rPr>
          <w:rFonts w:ascii="Times New Roman" w:eastAsia="Calibri" w:hAnsi="Times New Roman" w:cs="Times New Roman"/>
          <w:sz w:val="24"/>
          <w:szCs w:val="24"/>
          <w:lang w:val="en-GB"/>
        </w:rPr>
        <w:t xml:space="preserve"> Segment </w:t>
      </w:r>
      <w:r w:rsidR="00435588">
        <w:rPr>
          <w:rFonts w:ascii="Times New Roman" w:eastAsia="Calibri" w:hAnsi="Times New Roman" w:cs="Times New Roman"/>
          <w:sz w:val="24"/>
          <w:szCs w:val="24"/>
          <w:lang w:val="en-GB"/>
        </w:rPr>
        <w:t>with</w:t>
      </w:r>
      <w:r>
        <w:rPr>
          <w:rFonts w:ascii="Times New Roman" w:eastAsia="Calibri" w:hAnsi="Times New Roman" w:cs="Times New Roman"/>
          <w:sz w:val="24"/>
          <w:szCs w:val="24"/>
          <w:lang w:val="en-GB"/>
        </w:rPr>
        <w:t xml:space="preserve"> Bloomberg, covering</w:t>
      </w:r>
      <w:r w:rsidR="00B20BDD">
        <w:rPr>
          <w:rFonts w:ascii="Times New Roman" w:eastAsia="Calibri" w:hAnsi="Times New Roman" w:cs="Times New Roman"/>
          <w:sz w:val="24"/>
          <w:szCs w:val="24"/>
          <w:lang w:val="en-GB"/>
        </w:rPr>
        <w:t xml:space="preserve"> </w:t>
      </w:r>
      <w:r w:rsidR="00435588">
        <w:rPr>
          <w:rFonts w:ascii="Times New Roman" w:eastAsia="Calibri" w:hAnsi="Times New Roman" w:cs="Times New Roman"/>
          <w:sz w:val="24"/>
          <w:szCs w:val="24"/>
          <w:lang w:val="en-GB"/>
        </w:rPr>
        <w:t xml:space="preserve">both </w:t>
      </w:r>
      <w:r>
        <w:rPr>
          <w:rFonts w:ascii="Times New Roman" w:eastAsia="Calibri" w:hAnsi="Times New Roman" w:cs="Times New Roman"/>
          <w:sz w:val="24"/>
          <w:szCs w:val="24"/>
          <w:lang w:val="en-GB"/>
        </w:rPr>
        <w:t xml:space="preserve">U.S. and </w:t>
      </w:r>
      <w:r w:rsidR="00042599">
        <w:rPr>
          <w:rFonts w:ascii="Times New Roman" w:eastAsia="Calibri" w:hAnsi="Times New Roman" w:cs="Times New Roman"/>
          <w:sz w:val="24"/>
          <w:szCs w:val="24"/>
          <w:lang w:val="en-GB"/>
        </w:rPr>
        <w:t>non</w:t>
      </w:r>
      <w:r w:rsidR="00915440">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U.S. </w:t>
      </w:r>
      <w:r w:rsidR="00B20BDD">
        <w:rPr>
          <w:rFonts w:ascii="Times New Roman" w:eastAsia="Calibri" w:hAnsi="Times New Roman" w:cs="Times New Roman"/>
          <w:sz w:val="24"/>
          <w:szCs w:val="24"/>
          <w:lang w:val="en-GB"/>
        </w:rPr>
        <w:t xml:space="preserve">first tier </w:t>
      </w:r>
      <w:r>
        <w:rPr>
          <w:rFonts w:ascii="Times New Roman" w:eastAsia="Calibri" w:hAnsi="Times New Roman" w:cs="Times New Roman"/>
          <w:sz w:val="24"/>
          <w:szCs w:val="24"/>
          <w:lang w:val="en-GB"/>
        </w:rPr>
        <w:t>suppliers</w:t>
      </w:r>
      <w:r w:rsidR="00435588">
        <w:rPr>
          <w:rFonts w:ascii="Times New Roman" w:eastAsia="Calibri" w:hAnsi="Times New Roman" w:cs="Times New Roman"/>
          <w:sz w:val="24"/>
          <w:szCs w:val="24"/>
          <w:lang w:val="en-GB"/>
        </w:rPr>
        <w:t xml:space="preserve"> for each buyer and year</w:t>
      </w:r>
      <w:r w:rsidR="00B20BDD">
        <w:rPr>
          <w:rFonts w:ascii="Times New Roman" w:eastAsia="Calibri" w:hAnsi="Times New Roman" w:cs="Times New Roman"/>
          <w:sz w:val="24"/>
          <w:szCs w:val="24"/>
          <w:lang w:val="en-GB"/>
        </w:rPr>
        <w:t xml:space="preserve">. </w:t>
      </w:r>
      <w:r w:rsidR="00435588">
        <w:rPr>
          <w:rFonts w:ascii="Times New Roman" w:eastAsia="Calibri" w:hAnsi="Times New Roman" w:cs="Times New Roman"/>
          <w:sz w:val="24"/>
          <w:szCs w:val="24"/>
          <w:lang w:val="en-GB"/>
        </w:rPr>
        <w:t>W</w:t>
      </w:r>
      <w:r w:rsidR="00B20BDD">
        <w:rPr>
          <w:rFonts w:ascii="Times New Roman" w:eastAsia="Calibri" w:hAnsi="Times New Roman" w:cs="Times New Roman"/>
          <w:sz w:val="24"/>
          <w:szCs w:val="24"/>
          <w:lang w:val="en-GB"/>
        </w:rPr>
        <w:t xml:space="preserve">e </w:t>
      </w:r>
      <w:r w:rsidR="00435588">
        <w:rPr>
          <w:rFonts w:ascii="Times New Roman" w:eastAsia="Calibri" w:hAnsi="Times New Roman" w:cs="Times New Roman"/>
          <w:sz w:val="24"/>
          <w:szCs w:val="24"/>
          <w:lang w:val="en-GB"/>
        </w:rPr>
        <w:t>then</w:t>
      </w:r>
      <w:r w:rsidR="00B20BDD">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 xml:space="preserve">computed the total sales that each supplier sold to the buyer during the </w:t>
      </w:r>
      <w:r w:rsidRPr="00873B4D">
        <w:rPr>
          <w:rFonts w:ascii="Times New Roman" w:eastAsia="Calibri" w:hAnsi="Times New Roman" w:cs="Times New Roman"/>
          <w:sz w:val="24"/>
          <w:szCs w:val="24"/>
          <w:lang w:val="en-GB"/>
        </w:rPr>
        <w:t>entire period of the study</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 and we selected the supplier with the highest revenue generated from the buyer.</w:t>
      </w:r>
      <w:r>
        <w:rPr>
          <w:rFonts w:ascii="Times New Roman" w:eastAsia="Calibri" w:hAnsi="Times New Roman" w:cs="Times New Roman"/>
          <w:sz w:val="24"/>
          <w:szCs w:val="24"/>
          <w:lang w:val="en-GB"/>
        </w:rPr>
        <w:t xml:space="preserve"> </w:t>
      </w:r>
      <w:r w:rsidR="00B20BDD">
        <w:rPr>
          <w:rFonts w:ascii="Times New Roman" w:eastAsia="Calibri" w:hAnsi="Times New Roman" w:cs="Times New Roman"/>
          <w:sz w:val="24"/>
          <w:szCs w:val="24"/>
          <w:lang w:val="en-GB"/>
        </w:rPr>
        <w:t xml:space="preserve">There </w:t>
      </w:r>
      <w:r w:rsidR="003B2471">
        <w:rPr>
          <w:rFonts w:ascii="Times New Roman" w:eastAsia="Calibri" w:hAnsi="Times New Roman" w:cs="Times New Roman"/>
          <w:sz w:val="24"/>
          <w:szCs w:val="24"/>
          <w:lang w:val="en-GB"/>
        </w:rPr>
        <w:t xml:space="preserve">were </w:t>
      </w:r>
      <w:r w:rsidR="00B20BDD">
        <w:rPr>
          <w:rFonts w:ascii="Times New Roman" w:eastAsia="Calibri" w:hAnsi="Times New Roman" w:cs="Times New Roman"/>
          <w:sz w:val="24"/>
          <w:szCs w:val="24"/>
          <w:lang w:val="en-GB"/>
        </w:rPr>
        <w:t>51</w:t>
      </w:r>
      <w:r w:rsidR="009E4347">
        <w:rPr>
          <w:rFonts w:ascii="Times New Roman" w:eastAsia="Calibri" w:hAnsi="Times New Roman" w:cs="Times New Roman"/>
          <w:sz w:val="24"/>
          <w:szCs w:val="24"/>
          <w:lang w:val="en-GB"/>
        </w:rPr>
        <w:t>6</w:t>
      </w:r>
      <w:r w:rsidR="00B20BDD">
        <w:rPr>
          <w:rFonts w:ascii="Times New Roman" w:eastAsia="Calibri" w:hAnsi="Times New Roman" w:cs="Times New Roman"/>
          <w:sz w:val="24"/>
          <w:szCs w:val="24"/>
          <w:lang w:val="en-GB"/>
        </w:rPr>
        <w:t xml:space="preserve"> buyer-supplier dyads that met the criteria</w:t>
      </w:r>
      <w:r w:rsidR="00A315B9">
        <w:rPr>
          <w:rFonts w:ascii="Times New Roman" w:eastAsia="Calibri" w:hAnsi="Times New Roman" w:cs="Times New Roman"/>
          <w:sz w:val="24"/>
          <w:szCs w:val="24"/>
          <w:lang w:val="en-GB"/>
        </w:rPr>
        <w:t xml:space="preserve"> of having at least two consecutive years of financial </w:t>
      </w:r>
      <w:r w:rsidR="00342960">
        <w:rPr>
          <w:rFonts w:ascii="Times New Roman" w:eastAsia="Calibri" w:hAnsi="Times New Roman" w:cs="Times New Roman"/>
          <w:sz w:val="24"/>
          <w:szCs w:val="24"/>
          <w:lang w:val="en-GB"/>
        </w:rPr>
        <w:t>data and sustainability information</w:t>
      </w:r>
      <w:r w:rsidR="00B20BDD">
        <w:rPr>
          <w:rFonts w:ascii="Times New Roman" w:eastAsia="Calibri" w:hAnsi="Times New Roman" w:cs="Times New Roman"/>
          <w:sz w:val="24"/>
          <w:szCs w:val="24"/>
          <w:lang w:val="en-GB"/>
        </w:rPr>
        <w:t xml:space="preserve">, resulting in a </w:t>
      </w:r>
      <w:r w:rsidR="00B20BDD">
        <w:rPr>
          <w:rFonts w:ascii="Times New Roman" w:eastAsia="Calibri" w:hAnsi="Times New Roman" w:cs="Times New Roman"/>
          <w:sz w:val="24"/>
          <w:szCs w:val="24"/>
          <w:lang w:val="en-GB"/>
        </w:rPr>
        <w:t xml:space="preserve">total of </w:t>
      </w:r>
      <w:r w:rsidR="00B20BDD" w:rsidRPr="009E68D6">
        <w:rPr>
          <w:rFonts w:ascii="Times New Roman" w:eastAsia="Calibri" w:hAnsi="Times New Roman" w:cs="Times New Roman"/>
          <w:sz w:val="24"/>
          <w:szCs w:val="24"/>
          <w:lang w:val="en-GB"/>
        </w:rPr>
        <w:t>2,</w:t>
      </w:r>
      <w:r w:rsidR="009E4347">
        <w:rPr>
          <w:rFonts w:ascii="Times New Roman" w:eastAsia="Calibri" w:hAnsi="Times New Roman" w:cs="Times New Roman"/>
          <w:sz w:val="24"/>
          <w:szCs w:val="24"/>
          <w:lang w:val="en-GB"/>
        </w:rPr>
        <w:t>093</w:t>
      </w:r>
      <w:r w:rsidR="00B20BDD" w:rsidRPr="009E68D6">
        <w:rPr>
          <w:rFonts w:ascii="Times New Roman" w:eastAsia="Calibri" w:hAnsi="Times New Roman" w:cs="Times New Roman"/>
          <w:sz w:val="24"/>
          <w:szCs w:val="24"/>
          <w:lang w:val="en-GB"/>
        </w:rPr>
        <w:t xml:space="preserve"> dyad-year observations</w:t>
      </w:r>
      <w:r w:rsidR="00B20BDD">
        <w:rPr>
          <w:rFonts w:ascii="Times New Roman" w:eastAsia="Calibri" w:hAnsi="Times New Roman" w:cs="Times New Roman"/>
          <w:sz w:val="24"/>
          <w:szCs w:val="24"/>
          <w:lang w:val="en-GB"/>
        </w:rPr>
        <w:t xml:space="preserve"> across the 2011</w:t>
      </w:r>
      <w:r w:rsidR="00F15302">
        <w:rPr>
          <w:rFonts w:ascii="Times New Roman" w:eastAsia="Calibri" w:hAnsi="Times New Roman" w:cs="Times New Roman"/>
          <w:sz w:val="24"/>
          <w:szCs w:val="24"/>
          <w:lang w:val="en-GB"/>
        </w:rPr>
        <w:t>-</w:t>
      </w:r>
      <w:r w:rsidR="00B20BDD">
        <w:rPr>
          <w:rFonts w:ascii="Times New Roman" w:eastAsia="Calibri" w:hAnsi="Times New Roman" w:cs="Times New Roman"/>
          <w:sz w:val="24"/>
          <w:szCs w:val="24"/>
          <w:lang w:val="en-GB"/>
        </w:rPr>
        <w:t xml:space="preserve">2018 sample period. We did not require the buyer-supplier relationship </w:t>
      </w:r>
      <w:r w:rsidR="00042599">
        <w:rPr>
          <w:rFonts w:ascii="Times New Roman" w:eastAsia="Calibri" w:hAnsi="Times New Roman" w:cs="Times New Roman"/>
          <w:sz w:val="24"/>
          <w:szCs w:val="24"/>
          <w:lang w:val="en-GB"/>
        </w:rPr>
        <w:t xml:space="preserve">to </w:t>
      </w:r>
      <w:r w:rsidR="00B20BDD">
        <w:rPr>
          <w:rFonts w:ascii="Times New Roman" w:eastAsia="Calibri" w:hAnsi="Times New Roman" w:cs="Times New Roman"/>
          <w:sz w:val="24"/>
          <w:szCs w:val="24"/>
          <w:lang w:val="en-GB"/>
        </w:rPr>
        <w:t xml:space="preserve">hold </w:t>
      </w:r>
      <w:r w:rsidR="0053577E">
        <w:rPr>
          <w:rFonts w:ascii="Times New Roman" w:eastAsia="Calibri" w:hAnsi="Times New Roman" w:cs="Times New Roman"/>
          <w:sz w:val="24"/>
          <w:szCs w:val="24"/>
          <w:lang w:val="en-GB"/>
        </w:rPr>
        <w:t xml:space="preserve">in </w:t>
      </w:r>
      <w:r w:rsidR="00B20BDD">
        <w:rPr>
          <w:rFonts w:ascii="Times New Roman" w:eastAsia="Calibri" w:hAnsi="Times New Roman" w:cs="Times New Roman"/>
          <w:sz w:val="24"/>
          <w:szCs w:val="24"/>
          <w:lang w:val="en-GB"/>
        </w:rPr>
        <w:t xml:space="preserve">the entire period of study, </w:t>
      </w:r>
      <w:r w:rsidR="0053577E">
        <w:rPr>
          <w:rFonts w:ascii="Times New Roman" w:eastAsia="Calibri" w:hAnsi="Times New Roman" w:cs="Times New Roman"/>
          <w:sz w:val="24"/>
          <w:szCs w:val="24"/>
          <w:lang w:val="en-GB"/>
        </w:rPr>
        <w:t xml:space="preserve">thus </w:t>
      </w:r>
      <w:r w:rsidR="00B20BDD">
        <w:rPr>
          <w:rFonts w:ascii="Times New Roman" w:eastAsia="Calibri" w:hAnsi="Times New Roman" w:cs="Times New Roman"/>
          <w:sz w:val="24"/>
          <w:szCs w:val="24"/>
          <w:lang w:val="en-GB"/>
        </w:rPr>
        <w:t>having an unbalance</w:t>
      </w:r>
      <w:r w:rsidR="00766AD6">
        <w:rPr>
          <w:rFonts w:ascii="Times New Roman" w:eastAsia="Calibri" w:hAnsi="Times New Roman" w:cs="Times New Roman"/>
          <w:sz w:val="24"/>
          <w:szCs w:val="24"/>
          <w:lang w:val="en-GB"/>
        </w:rPr>
        <w:t>d</w:t>
      </w:r>
      <w:r w:rsidR="00B20BDD">
        <w:rPr>
          <w:rFonts w:ascii="Times New Roman" w:eastAsia="Calibri" w:hAnsi="Times New Roman" w:cs="Times New Roman"/>
          <w:sz w:val="24"/>
          <w:szCs w:val="24"/>
          <w:lang w:val="en-GB"/>
        </w:rPr>
        <w:t xml:space="preserve"> sample. </w:t>
      </w:r>
    </w:p>
    <w:p w14:paraId="62BC53D9" w14:textId="77777777" w:rsidR="004A5928" w:rsidRDefault="00B20BDD" w:rsidP="0091010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Table 1 </w:t>
      </w:r>
      <w:r w:rsidRPr="00873B4D">
        <w:rPr>
          <w:rFonts w:ascii="Times New Roman" w:eastAsia="Calibri" w:hAnsi="Times New Roman" w:cs="Times New Roman"/>
          <w:sz w:val="24"/>
          <w:szCs w:val="24"/>
          <w:lang w:val="en-GB"/>
        </w:rPr>
        <w:t xml:space="preserve">provides an overview of the </w:t>
      </w:r>
      <w:r>
        <w:rPr>
          <w:rFonts w:ascii="Times New Roman" w:eastAsia="Calibri" w:hAnsi="Times New Roman" w:cs="Times New Roman"/>
          <w:sz w:val="24"/>
          <w:szCs w:val="24"/>
          <w:lang w:val="en-GB"/>
        </w:rPr>
        <w:t>buyer and supplier firms</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included in the sample </w:t>
      </w:r>
      <w:r w:rsidRPr="00873B4D">
        <w:rPr>
          <w:rFonts w:ascii="Times New Roman" w:eastAsia="Calibri" w:hAnsi="Times New Roman" w:cs="Times New Roman"/>
          <w:sz w:val="24"/>
          <w:szCs w:val="24"/>
          <w:lang w:val="en-GB"/>
        </w:rPr>
        <w:t>and their associated sector, according to the Global Industry Classification Standard (GICS) system.</w:t>
      </w:r>
      <w:r>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T</w:t>
      </w:r>
      <w:r w:rsidR="0091010D" w:rsidRPr="00873B4D">
        <w:rPr>
          <w:rFonts w:ascii="Times New Roman" w:eastAsia="Calibri" w:hAnsi="Times New Roman" w:cs="Times New Roman"/>
          <w:sz w:val="24"/>
          <w:szCs w:val="24"/>
          <w:lang w:val="en-GB"/>
        </w:rPr>
        <w:t xml:space="preserve">he sample </w:t>
      </w:r>
      <w:r w:rsidR="0091010D">
        <w:rPr>
          <w:rFonts w:ascii="Times New Roman" w:eastAsia="Calibri" w:hAnsi="Times New Roman" w:cs="Times New Roman"/>
          <w:sz w:val="24"/>
          <w:szCs w:val="24"/>
          <w:lang w:val="en-GB"/>
        </w:rPr>
        <w:t>comprised</w:t>
      </w:r>
      <w:r w:rsidR="0091010D" w:rsidRPr="00873B4D">
        <w:rPr>
          <w:rFonts w:ascii="Times New Roman" w:eastAsia="Calibri" w:hAnsi="Times New Roman" w:cs="Times New Roman"/>
          <w:sz w:val="24"/>
          <w:szCs w:val="24"/>
          <w:lang w:val="en-GB"/>
        </w:rPr>
        <w:t xml:space="preserve"> a set of </w:t>
      </w:r>
      <w:r>
        <w:rPr>
          <w:rFonts w:ascii="Times New Roman" w:eastAsia="Calibri" w:hAnsi="Times New Roman" w:cs="Times New Roman"/>
          <w:sz w:val="24"/>
          <w:szCs w:val="24"/>
          <w:lang w:val="en-GB"/>
        </w:rPr>
        <w:t>51</w:t>
      </w:r>
      <w:r w:rsidR="009E4347">
        <w:rPr>
          <w:rFonts w:ascii="Times New Roman" w:eastAsia="Calibri" w:hAnsi="Times New Roman" w:cs="Times New Roman"/>
          <w:sz w:val="24"/>
          <w:szCs w:val="24"/>
          <w:lang w:val="en-GB"/>
        </w:rPr>
        <w:t>6</w:t>
      </w:r>
      <w:r w:rsidR="0091010D" w:rsidRPr="00873B4D">
        <w:rPr>
          <w:rFonts w:ascii="Times New Roman" w:eastAsia="Calibri" w:hAnsi="Times New Roman" w:cs="Times New Roman"/>
          <w:sz w:val="24"/>
          <w:szCs w:val="24"/>
          <w:lang w:val="en-GB"/>
        </w:rPr>
        <w:t xml:space="preserve"> buyer firms and </w:t>
      </w:r>
      <w:r>
        <w:rPr>
          <w:rFonts w:ascii="Times New Roman" w:eastAsia="Calibri" w:hAnsi="Times New Roman" w:cs="Times New Roman"/>
          <w:sz w:val="24"/>
          <w:szCs w:val="24"/>
          <w:lang w:val="en-GB"/>
        </w:rPr>
        <w:t>311</w:t>
      </w:r>
      <w:r w:rsidR="0091010D" w:rsidRPr="00873B4D">
        <w:rPr>
          <w:rFonts w:ascii="Times New Roman" w:eastAsia="Calibri" w:hAnsi="Times New Roman" w:cs="Times New Roman"/>
          <w:sz w:val="24"/>
          <w:szCs w:val="24"/>
          <w:lang w:val="en-GB"/>
        </w:rPr>
        <w:t xml:space="preserve"> top supplier firms</w:t>
      </w:r>
      <w:r w:rsidR="0091010D">
        <w:rPr>
          <w:rFonts w:ascii="Times New Roman" w:eastAsia="Calibri" w:hAnsi="Times New Roman" w:cs="Times New Roman"/>
          <w:sz w:val="24"/>
          <w:szCs w:val="24"/>
          <w:lang w:val="en-GB"/>
        </w:rPr>
        <w:t>. As we</w:t>
      </w:r>
      <w:r w:rsidR="00EC0130">
        <w:rPr>
          <w:rFonts w:ascii="Times New Roman" w:eastAsia="Calibri" w:hAnsi="Times New Roman" w:cs="Times New Roman"/>
          <w:sz w:val="24"/>
          <w:szCs w:val="24"/>
          <w:lang w:val="en-GB"/>
        </w:rPr>
        <w:t xml:space="preserve"> </w:t>
      </w:r>
      <w:proofErr w:type="spellStart"/>
      <w:r w:rsidR="00042599">
        <w:rPr>
          <w:rFonts w:ascii="Times New Roman" w:eastAsia="Calibri" w:hAnsi="Times New Roman" w:cs="Times New Roman"/>
          <w:sz w:val="24"/>
          <w:szCs w:val="24"/>
          <w:lang w:val="en-GB"/>
        </w:rPr>
        <w:t>analyze</w:t>
      </w:r>
      <w:proofErr w:type="spellEnd"/>
      <w:r w:rsidR="00042599">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 xml:space="preserve">asymmetries between </w:t>
      </w:r>
      <w:r w:rsidR="00042599">
        <w:rPr>
          <w:rFonts w:ascii="Times New Roman" w:eastAsia="Calibri" w:hAnsi="Times New Roman" w:cs="Times New Roman"/>
          <w:sz w:val="24"/>
          <w:szCs w:val="24"/>
          <w:lang w:val="en-GB"/>
        </w:rPr>
        <w:t xml:space="preserve">the </w:t>
      </w:r>
      <w:r w:rsidR="0091010D">
        <w:rPr>
          <w:rFonts w:ascii="Times New Roman" w:eastAsia="Calibri" w:hAnsi="Times New Roman" w:cs="Times New Roman"/>
          <w:sz w:val="24"/>
          <w:szCs w:val="24"/>
          <w:lang w:val="en-GB"/>
        </w:rPr>
        <w:t xml:space="preserve">buyer and </w:t>
      </w:r>
      <w:r w:rsidR="002F51C0">
        <w:rPr>
          <w:rFonts w:ascii="Times New Roman" w:eastAsia="Calibri" w:hAnsi="Times New Roman" w:cs="Times New Roman"/>
          <w:sz w:val="24"/>
          <w:szCs w:val="24"/>
          <w:lang w:val="en-GB"/>
        </w:rPr>
        <w:t xml:space="preserve">its top </w:t>
      </w:r>
      <w:r w:rsidR="0091010D">
        <w:rPr>
          <w:rFonts w:ascii="Times New Roman" w:eastAsia="Calibri" w:hAnsi="Times New Roman" w:cs="Times New Roman"/>
          <w:sz w:val="24"/>
          <w:szCs w:val="24"/>
          <w:lang w:val="en-GB"/>
        </w:rPr>
        <w:t xml:space="preserve">supplier, </w:t>
      </w:r>
      <w:r w:rsidR="0091010D" w:rsidRPr="00873B4D">
        <w:rPr>
          <w:rFonts w:ascii="Times New Roman" w:eastAsia="Calibri" w:hAnsi="Times New Roman" w:cs="Times New Roman"/>
          <w:sz w:val="24"/>
          <w:szCs w:val="24"/>
          <w:lang w:val="en-GB"/>
        </w:rPr>
        <w:t xml:space="preserve">it is worth </w:t>
      </w:r>
      <w:r w:rsidR="0091010D">
        <w:rPr>
          <w:rFonts w:ascii="Times New Roman" w:eastAsia="Calibri" w:hAnsi="Times New Roman" w:cs="Times New Roman"/>
          <w:sz w:val="24"/>
          <w:szCs w:val="24"/>
          <w:lang w:val="en-GB"/>
        </w:rPr>
        <w:t>highlighting</w:t>
      </w:r>
      <w:r w:rsidR="0091010D" w:rsidRPr="00873B4D">
        <w:rPr>
          <w:rFonts w:ascii="Times New Roman" w:eastAsia="Calibri" w:hAnsi="Times New Roman" w:cs="Times New Roman"/>
          <w:sz w:val="24"/>
          <w:szCs w:val="24"/>
          <w:lang w:val="en-GB"/>
        </w:rPr>
        <w:t xml:space="preserve"> that we had </w:t>
      </w:r>
      <w:r w:rsidR="0091010D">
        <w:rPr>
          <w:rFonts w:ascii="Times New Roman" w:eastAsia="Calibri" w:hAnsi="Times New Roman" w:cs="Times New Roman"/>
          <w:sz w:val="24"/>
          <w:szCs w:val="24"/>
          <w:lang w:val="en-GB"/>
        </w:rPr>
        <w:t>some</w:t>
      </w:r>
      <w:r w:rsidR="0091010D"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top </w:t>
      </w:r>
      <w:r w:rsidR="0091010D" w:rsidRPr="00873B4D">
        <w:rPr>
          <w:rFonts w:ascii="Times New Roman" w:eastAsia="Calibri" w:hAnsi="Times New Roman" w:cs="Times New Roman"/>
          <w:sz w:val="24"/>
          <w:szCs w:val="24"/>
          <w:lang w:val="en-GB"/>
        </w:rPr>
        <w:t xml:space="preserve">suppliers that were </w:t>
      </w:r>
      <w:r w:rsidR="0091010D">
        <w:rPr>
          <w:rFonts w:ascii="Times New Roman" w:eastAsia="Calibri" w:hAnsi="Times New Roman" w:cs="Times New Roman"/>
          <w:sz w:val="24"/>
          <w:szCs w:val="24"/>
          <w:lang w:val="en-GB"/>
        </w:rPr>
        <w:t>identified as being the</w:t>
      </w:r>
      <w:r w:rsidR="0091010D" w:rsidRPr="00873B4D">
        <w:rPr>
          <w:rFonts w:ascii="Times New Roman" w:eastAsia="Calibri" w:hAnsi="Times New Roman" w:cs="Times New Roman"/>
          <w:sz w:val="24"/>
          <w:szCs w:val="24"/>
          <w:lang w:val="en-GB"/>
        </w:rPr>
        <w:t xml:space="preserve"> top supplier for </w:t>
      </w:r>
      <w:r w:rsidR="0091010D">
        <w:rPr>
          <w:rFonts w:ascii="Times New Roman" w:eastAsia="Calibri" w:hAnsi="Times New Roman" w:cs="Times New Roman"/>
          <w:sz w:val="24"/>
          <w:szCs w:val="24"/>
          <w:lang w:val="en-GB"/>
        </w:rPr>
        <w:t>several buyer firms</w:t>
      </w:r>
      <w:r w:rsidR="0091010D" w:rsidRPr="00873B4D">
        <w:rPr>
          <w:rFonts w:ascii="Times New Roman" w:eastAsia="Calibri" w:hAnsi="Times New Roman" w:cs="Times New Roman"/>
          <w:sz w:val="24"/>
          <w:szCs w:val="24"/>
          <w:lang w:val="en-GB"/>
        </w:rPr>
        <w:t xml:space="preserve">. </w:t>
      </w:r>
    </w:p>
    <w:p w14:paraId="0CAAF1D0" w14:textId="009470FD" w:rsidR="0091010D" w:rsidRDefault="00016BB0" w:rsidP="0091010D">
      <w:pPr>
        <w:spacing w:line="480" w:lineRule="auto"/>
        <w:jc w:val="both"/>
        <w:rPr>
          <w:rFonts w:ascii="Times New Roman" w:eastAsia="Calibri" w:hAnsi="Times New Roman" w:cs="Times New Roman"/>
          <w:sz w:val="24"/>
          <w:szCs w:val="24"/>
          <w:lang w:val="en-GB"/>
        </w:rPr>
      </w:pPr>
      <w:r w:rsidRPr="00016BB0">
        <w:rPr>
          <w:rFonts w:ascii="Times New Roman" w:eastAsia="Calibri" w:hAnsi="Times New Roman" w:cs="Times New Roman"/>
          <w:sz w:val="24"/>
          <w:szCs w:val="24"/>
          <w:lang w:val="en-GB"/>
        </w:rPr>
        <w:t xml:space="preserve">This methodology was based on similar studies that investigated the effect of supply chain asymmetries on performance (e.g. </w:t>
      </w:r>
      <w:proofErr w:type="spellStart"/>
      <w:r w:rsidRPr="00016BB0">
        <w:rPr>
          <w:rFonts w:ascii="Times New Roman" w:eastAsia="Calibri" w:hAnsi="Times New Roman" w:cs="Times New Roman"/>
          <w:sz w:val="24"/>
          <w:szCs w:val="24"/>
          <w:lang w:val="en-GB"/>
        </w:rPr>
        <w:t>Villena</w:t>
      </w:r>
      <w:proofErr w:type="spellEnd"/>
      <w:r w:rsidRPr="00016BB0">
        <w:rPr>
          <w:rFonts w:ascii="Times New Roman" w:eastAsia="Calibri" w:hAnsi="Times New Roman" w:cs="Times New Roman"/>
          <w:sz w:val="24"/>
          <w:szCs w:val="24"/>
          <w:lang w:val="en-GB"/>
        </w:rPr>
        <w:t xml:space="preserve"> and </w:t>
      </w:r>
      <w:proofErr w:type="spellStart"/>
      <w:r w:rsidRPr="00016BB0">
        <w:rPr>
          <w:rFonts w:ascii="Times New Roman" w:eastAsia="Calibri" w:hAnsi="Times New Roman" w:cs="Times New Roman"/>
          <w:sz w:val="24"/>
          <w:szCs w:val="24"/>
          <w:lang w:val="en-GB"/>
        </w:rPr>
        <w:t>Craighead</w:t>
      </w:r>
      <w:proofErr w:type="spellEnd"/>
      <w:r w:rsidRPr="00016BB0">
        <w:rPr>
          <w:rFonts w:ascii="Times New Roman" w:eastAsia="Calibri" w:hAnsi="Times New Roman" w:cs="Times New Roman"/>
          <w:sz w:val="24"/>
          <w:szCs w:val="24"/>
          <w:lang w:val="en-GB"/>
        </w:rPr>
        <w:t>, 2017).</w:t>
      </w:r>
      <w:r>
        <w:rPr>
          <w:rFonts w:ascii="Times New Roman" w:eastAsia="Calibri" w:hAnsi="Times New Roman" w:cs="Times New Roman"/>
          <w:sz w:val="24"/>
          <w:szCs w:val="24"/>
          <w:lang w:val="en-GB"/>
        </w:rPr>
        <w:t xml:space="preserve"> However, a key difference lies on the dependent variables measuring firm performance. Whereas </w:t>
      </w:r>
      <w:proofErr w:type="spellStart"/>
      <w:r>
        <w:rPr>
          <w:rFonts w:ascii="Times New Roman" w:eastAsia="Calibri" w:hAnsi="Times New Roman" w:cs="Times New Roman"/>
          <w:sz w:val="24"/>
          <w:szCs w:val="24"/>
          <w:lang w:val="en-GB"/>
        </w:rPr>
        <w:t>Villena</w:t>
      </w:r>
      <w:proofErr w:type="spellEnd"/>
      <w:r>
        <w:rPr>
          <w:rFonts w:ascii="Times New Roman" w:eastAsia="Calibri" w:hAnsi="Times New Roman" w:cs="Times New Roman"/>
          <w:sz w:val="24"/>
          <w:szCs w:val="24"/>
          <w:lang w:val="en-GB"/>
        </w:rPr>
        <w:t xml:space="preserve"> and </w:t>
      </w:r>
      <w:proofErr w:type="spellStart"/>
      <w:r>
        <w:rPr>
          <w:rFonts w:ascii="Times New Roman" w:eastAsia="Calibri" w:hAnsi="Times New Roman" w:cs="Times New Roman"/>
          <w:sz w:val="24"/>
          <w:szCs w:val="24"/>
          <w:lang w:val="en-GB"/>
        </w:rPr>
        <w:t>Craighead</w:t>
      </w:r>
      <w:proofErr w:type="spellEnd"/>
      <w:r>
        <w:rPr>
          <w:rFonts w:ascii="Times New Roman" w:eastAsia="Calibri" w:hAnsi="Times New Roman" w:cs="Times New Roman"/>
          <w:sz w:val="24"/>
          <w:szCs w:val="24"/>
          <w:lang w:val="en-GB"/>
        </w:rPr>
        <w:t xml:space="preserve"> used a survey </w:t>
      </w:r>
      <w:r>
        <w:rPr>
          <w:rFonts w:ascii="Times New Roman" w:eastAsia="Calibri" w:hAnsi="Times New Roman" w:cs="Times New Roman"/>
          <w:sz w:val="24"/>
          <w:szCs w:val="24"/>
          <w:lang w:val="en-GB"/>
        </w:rPr>
        <w:t>to gather this information</w:t>
      </w:r>
      <w:r>
        <w:rPr>
          <w:rFonts w:ascii="Times New Roman" w:eastAsia="Calibri" w:hAnsi="Times New Roman" w:cs="Times New Roman"/>
          <w:sz w:val="24"/>
          <w:szCs w:val="24"/>
          <w:lang w:val="en-GB"/>
        </w:rPr>
        <w:t>, we relied on financial data</w:t>
      </w:r>
      <w:r>
        <w:rPr>
          <w:rFonts w:ascii="Times New Roman" w:eastAsia="Calibri" w:hAnsi="Times New Roman" w:cs="Times New Roman"/>
          <w:sz w:val="24"/>
          <w:szCs w:val="24"/>
          <w:lang w:val="en-GB"/>
        </w:rPr>
        <w:t xml:space="preserve"> (ROA and </w:t>
      </w:r>
      <w:r w:rsidR="004A5928">
        <w:rPr>
          <w:rFonts w:ascii="Times New Roman" w:eastAsia="Calibri" w:hAnsi="Times New Roman" w:cs="Times New Roman"/>
          <w:sz w:val="24"/>
          <w:szCs w:val="24"/>
          <w:lang w:val="en-GB"/>
        </w:rPr>
        <w:t>T</w:t>
      </w:r>
      <w:r>
        <w:rPr>
          <w:rFonts w:ascii="Times New Roman" w:eastAsia="Calibri" w:hAnsi="Times New Roman" w:cs="Times New Roman"/>
          <w:sz w:val="24"/>
          <w:szCs w:val="24"/>
          <w:lang w:val="en-GB"/>
        </w:rPr>
        <w:t>obin’s q)</w:t>
      </w:r>
      <w:r>
        <w:rPr>
          <w:rFonts w:ascii="Times New Roman" w:eastAsia="Calibri" w:hAnsi="Times New Roman" w:cs="Times New Roman"/>
          <w:sz w:val="24"/>
          <w:szCs w:val="24"/>
          <w:lang w:val="en-GB"/>
        </w:rPr>
        <w:t>. This is explained in the next section.</w:t>
      </w:r>
    </w:p>
    <w:p w14:paraId="59BF43B8" w14:textId="77777777" w:rsidR="00F04F7C" w:rsidRDefault="00F04F7C" w:rsidP="0091010D">
      <w:pPr>
        <w:spacing w:line="480" w:lineRule="auto"/>
        <w:jc w:val="both"/>
        <w:rPr>
          <w:rFonts w:ascii="Times New Roman" w:eastAsia="Calibri" w:hAnsi="Times New Roman" w:cs="Times New Roman"/>
          <w:sz w:val="24"/>
          <w:szCs w:val="24"/>
          <w:lang w:val="en-GB"/>
        </w:rPr>
      </w:pPr>
    </w:p>
    <w:p w14:paraId="36D5450C" w14:textId="77777777" w:rsidR="00AA7581" w:rsidRPr="00F06DCE" w:rsidRDefault="00AA7581" w:rsidP="00AA7581">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lastRenderedPageBreak/>
        <w:t>------------------------------------</w:t>
      </w:r>
    </w:p>
    <w:p w14:paraId="2EC6BD32" w14:textId="77777777" w:rsidR="00AA7581" w:rsidRPr="00F06DCE" w:rsidRDefault="00AA7581" w:rsidP="00AA7581">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 xml:space="preserve">Insert </w:t>
      </w:r>
      <w:r>
        <w:rPr>
          <w:rFonts w:ascii="Times New Roman" w:hAnsi="Times New Roman" w:cs="Times New Roman"/>
          <w:sz w:val="24"/>
          <w:szCs w:val="24"/>
          <w:lang w:val="en-GB"/>
        </w:rPr>
        <w:t>Table</w:t>
      </w:r>
      <w:r w:rsidRPr="00F06DCE">
        <w:rPr>
          <w:rFonts w:ascii="Times New Roman" w:hAnsi="Times New Roman" w:cs="Times New Roman"/>
          <w:sz w:val="24"/>
          <w:szCs w:val="24"/>
          <w:lang w:val="en-GB"/>
        </w:rPr>
        <w:t xml:space="preserve"> 1 about here</w:t>
      </w:r>
    </w:p>
    <w:p w14:paraId="1954E6DB" w14:textId="77777777" w:rsidR="00AA7581" w:rsidRPr="00F06DCE" w:rsidRDefault="00AA7581" w:rsidP="00AA7581">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150B6D17" w14:textId="77777777" w:rsidR="0091010D" w:rsidRPr="00D1660C" w:rsidRDefault="00BD328B" w:rsidP="0091010D">
      <w:pPr>
        <w:spacing w:line="480" w:lineRule="auto"/>
        <w:jc w:val="both"/>
        <w:rPr>
          <w:rFonts w:ascii="Times New Roman" w:eastAsia="Calibri" w:hAnsi="Times New Roman" w:cs="Times New Roman"/>
          <w:i/>
          <w:sz w:val="24"/>
          <w:szCs w:val="24"/>
          <w:lang w:val="en-GB"/>
        </w:rPr>
      </w:pPr>
      <w:r w:rsidRPr="00D1660C">
        <w:rPr>
          <w:rFonts w:ascii="Times New Roman" w:eastAsia="Calibri" w:hAnsi="Times New Roman" w:cs="Times New Roman"/>
          <w:i/>
          <w:sz w:val="24"/>
          <w:szCs w:val="24"/>
          <w:lang w:val="en-GB"/>
        </w:rPr>
        <w:t>3</w:t>
      </w:r>
      <w:r w:rsidR="0091010D" w:rsidRPr="00D1660C">
        <w:rPr>
          <w:rFonts w:ascii="Times New Roman" w:eastAsia="Calibri" w:hAnsi="Times New Roman" w:cs="Times New Roman"/>
          <w:i/>
          <w:sz w:val="24"/>
          <w:szCs w:val="24"/>
          <w:lang w:val="en-GB"/>
        </w:rPr>
        <w:t>.2 Measures</w:t>
      </w:r>
    </w:p>
    <w:p w14:paraId="78C1FC78" w14:textId="075CCFAB" w:rsidR="004F00F9" w:rsidRDefault="0091010D" w:rsidP="004F00F9">
      <w:pPr>
        <w:spacing w:line="480" w:lineRule="auto"/>
        <w:jc w:val="both"/>
        <w:rPr>
          <w:rFonts w:ascii="Times New Roman" w:eastAsia="Calibri" w:hAnsi="Times New Roman" w:cs="Times New Roman"/>
          <w:sz w:val="24"/>
          <w:szCs w:val="24"/>
          <w:lang w:val="en-GB"/>
        </w:rPr>
      </w:pPr>
      <w:r w:rsidRPr="00873B4D">
        <w:rPr>
          <w:rFonts w:ascii="Times New Roman" w:eastAsia="Calibri" w:hAnsi="Times New Roman" w:cs="Times New Roman"/>
          <w:sz w:val="24"/>
          <w:szCs w:val="24"/>
          <w:lang w:val="en-GB"/>
        </w:rPr>
        <w:t xml:space="preserve">To assess the effects of the </w:t>
      </w:r>
      <w:r w:rsidR="00451E48">
        <w:rPr>
          <w:rFonts w:ascii="Times New Roman" w:eastAsia="Calibri" w:hAnsi="Times New Roman" w:cs="Times New Roman"/>
          <w:sz w:val="24"/>
          <w:szCs w:val="24"/>
          <w:lang w:val="en-GB"/>
        </w:rPr>
        <w:t xml:space="preserve">environmental and social </w:t>
      </w:r>
      <w:r w:rsidRPr="00873B4D">
        <w:rPr>
          <w:rFonts w:ascii="Times New Roman" w:eastAsia="Calibri" w:hAnsi="Times New Roman" w:cs="Times New Roman"/>
          <w:sz w:val="24"/>
          <w:szCs w:val="24"/>
          <w:lang w:val="en-GB"/>
        </w:rPr>
        <w:t xml:space="preserve">sustainability asymmetries on </w:t>
      </w:r>
      <w:r w:rsidR="00553707">
        <w:rPr>
          <w:rFonts w:ascii="Times New Roman" w:eastAsia="Calibri" w:hAnsi="Times New Roman" w:cs="Times New Roman"/>
          <w:sz w:val="24"/>
          <w:szCs w:val="24"/>
          <w:lang w:val="en-GB"/>
        </w:rPr>
        <w:t xml:space="preserve">the </w:t>
      </w:r>
      <w:r w:rsidR="009E4347">
        <w:rPr>
          <w:rFonts w:ascii="Times New Roman" w:eastAsia="Calibri" w:hAnsi="Times New Roman" w:cs="Times New Roman"/>
          <w:sz w:val="24"/>
          <w:szCs w:val="24"/>
          <w:lang w:val="en-GB"/>
        </w:rPr>
        <w:t xml:space="preserve">buyer’s financial and market </w:t>
      </w:r>
      <w:r w:rsidRPr="00873B4D">
        <w:rPr>
          <w:rFonts w:ascii="Times New Roman" w:eastAsia="Calibri" w:hAnsi="Times New Roman" w:cs="Times New Roman"/>
          <w:sz w:val="24"/>
          <w:szCs w:val="24"/>
          <w:lang w:val="en-GB"/>
        </w:rPr>
        <w:t xml:space="preserve">performance we used </w:t>
      </w:r>
      <w:r w:rsidR="00451E48">
        <w:rPr>
          <w:rFonts w:ascii="Times New Roman" w:eastAsia="Calibri" w:hAnsi="Times New Roman" w:cs="Times New Roman"/>
          <w:sz w:val="24"/>
          <w:szCs w:val="24"/>
          <w:lang w:val="en-GB"/>
        </w:rPr>
        <w:t>the measures of</w:t>
      </w:r>
      <w:r>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return on assets (</w:t>
      </w:r>
      <w:r w:rsidR="005E4FDA">
        <w:rPr>
          <w:rFonts w:ascii="Times New Roman" w:eastAsia="Calibri" w:hAnsi="Times New Roman" w:cs="Times New Roman"/>
          <w:sz w:val="24"/>
          <w:szCs w:val="24"/>
          <w:lang w:val="en-GB"/>
        </w:rPr>
        <w:t xml:space="preserve">hereafter </w:t>
      </w:r>
      <w:r w:rsidRPr="00873B4D">
        <w:rPr>
          <w:rFonts w:ascii="Times New Roman" w:eastAsia="Calibri" w:hAnsi="Times New Roman" w:cs="Times New Roman"/>
          <w:sz w:val="24"/>
          <w:szCs w:val="24"/>
          <w:lang w:val="en-GB"/>
        </w:rPr>
        <w:t>ROA)</w:t>
      </w:r>
      <w:r w:rsidR="009E4347">
        <w:rPr>
          <w:rFonts w:ascii="Times New Roman" w:eastAsia="Calibri" w:hAnsi="Times New Roman" w:cs="Times New Roman"/>
          <w:sz w:val="24"/>
          <w:szCs w:val="24"/>
          <w:lang w:val="en-GB"/>
        </w:rPr>
        <w:t xml:space="preserve"> and firm valuation (</w:t>
      </w:r>
      <w:r w:rsidR="005E4FDA">
        <w:rPr>
          <w:rFonts w:ascii="Times New Roman" w:eastAsia="Calibri" w:hAnsi="Times New Roman" w:cs="Times New Roman"/>
          <w:sz w:val="24"/>
          <w:szCs w:val="24"/>
          <w:lang w:val="en-GB"/>
        </w:rPr>
        <w:t xml:space="preserve">hereafter </w:t>
      </w:r>
      <w:r w:rsidR="009E4347">
        <w:rPr>
          <w:rFonts w:ascii="Times New Roman" w:eastAsia="Calibri" w:hAnsi="Times New Roman" w:cs="Times New Roman"/>
          <w:sz w:val="24"/>
          <w:szCs w:val="24"/>
          <w:lang w:val="en-GB"/>
        </w:rPr>
        <w:t>T</w:t>
      </w:r>
      <w:r w:rsidR="00B07B9F">
        <w:rPr>
          <w:rFonts w:ascii="Times New Roman" w:eastAsia="Calibri" w:hAnsi="Times New Roman" w:cs="Times New Roman"/>
          <w:sz w:val="24"/>
          <w:szCs w:val="24"/>
          <w:lang w:val="en-GB"/>
        </w:rPr>
        <w:t>obin’s q</w:t>
      </w:r>
      <w:r w:rsidR="009E4347">
        <w:rPr>
          <w:rFonts w:ascii="Times New Roman" w:eastAsia="Calibri" w:hAnsi="Times New Roman" w:cs="Times New Roman"/>
          <w:sz w:val="24"/>
          <w:szCs w:val="24"/>
          <w:lang w:val="en-GB"/>
        </w:rPr>
        <w:t>)</w:t>
      </w:r>
      <w:r w:rsidR="00451E48">
        <w:rPr>
          <w:rFonts w:ascii="Times New Roman" w:eastAsia="Calibri" w:hAnsi="Times New Roman" w:cs="Times New Roman"/>
          <w:sz w:val="24"/>
          <w:szCs w:val="24"/>
          <w:lang w:val="en-GB"/>
        </w:rPr>
        <w:t xml:space="preserve">. </w:t>
      </w:r>
      <w:r w:rsidR="004F00F9">
        <w:rPr>
          <w:rFonts w:ascii="Times New Roman" w:eastAsia="Calibri" w:hAnsi="Times New Roman" w:cs="Times New Roman"/>
          <w:sz w:val="24"/>
          <w:szCs w:val="24"/>
          <w:lang w:val="en-GB"/>
        </w:rPr>
        <w:t>ROA</w:t>
      </w:r>
      <w:r w:rsidR="004F00F9" w:rsidRPr="00873B4D">
        <w:rPr>
          <w:rFonts w:ascii="Times New Roman" w:eastAsia="Calibri" w:hAnsi="Times New Roman" w:cs="Times New Roman"/>
          <w:sz w:val="24"/>
          <w:szCs w:val="24"/>
          <w:lang w:val="en-GB"/>
        </w:rPr>
        <w:t xml:space="preserve"> is computed as </w:t>
      </w:r>
      <w:r w:rsidR="004F00F9">
        <w:rPr>
          <w:rFonts w:ascii="Times New Roman" w:eastAsia="Calibri" w:hAnsi="Times New Roman" w:cs="Times New Roman"/>
          <w:sz w:val="24"/>
          <w:szCs w:val="24"/>
          <w:lang w:val="en-GB"/>
        </w:rPr>
        <w:t>net income</w:t>
      </w:r>
      <w:r w:rsidR="004F00F9" w:rsidRPr="00873B4D">
        <w:rPr>
          <w:rFonts w:ascii="Times New Roman" w:eastAsia="Calibri" w:hAnsi="Times New Roman" w:cs="Times New Roman"/>
          <w:sz w:val="24"/>
          <w:szCs w:val="24"/>
          <w:lang w:val="en-GB"/>
        </w:rPr>
        <w:t xml:space="preserve"> divided by </w:t>
      </w:r>
      <w:r w:rsidR="004F00F9">
        <w:rPr>
          <w:rFonts w:ascii="Times New Roman" w:eastAsia="Calibri" w:hAnsi="Times New Roman" w:cs="Times New Roman"/>
          <w:sz w:val="24"/>
          <w:szCs w:val="24"/>
          <w:lang w:val="en-GB"/>
        </w:rPr>
        <w:t xml:space="preserve">the </w:t>
      </w:r>
      <w:r w:rsidR="004F00F9" w:rsidRPr="00873B4D">
        <w:rPr>
          <w:rFonts w:ascii="Times New Roman" w:eastAsia="Calibri" w:hAnsi="Times New Roman" w:cs="Times New Roman"/>
          <w:sz w:val="24"/>
          <w:szCs w:val="24"/>
          <w:lang w:val="en-GB"/>
        </w:rPr>
        <w:t>book value of total assets</w:t>
      </w:r>
      <w:r w:rsidR="004F00F9">
        <w:rPr>
          <w:rFonts w:ascii="Times New Roman" w:eastAsia="Calibri" w:hAnsi="Times New Roman" w:cs="Times New Roman"/>
          <w:sz w:val="24"/>
          <w:szCs w:val="24"/>
          <w:lang w:val="en-GB"/>
        </w:rPr>
        <w:t xml:space="preserve"> while Tobin’s q </w:t>
      </w:r>
      <w:r w:rsidR="004F00F9" w:rsidRPr="00A436BC">
        <w:rPr>
          <w:rFonts w:ascii="Times New Roman" w:eastAsia="Calibri" w:hAnsi="Times New Roman" w:cs="Times New Roman"/>
          <w:sz w:val="24"/>
          <w:szCs w:val="24"/>
          <w:lang w:val="en-GB"/>
        </w:rPr>
        <w:t>is computed as the sum of the company’s market equity value plus the book value of the debt divided by the book value of the assets</w:t>
      </w:r>
      <w:r w:rsidR="004F00F9" w:rsidRPr="00873B4D">
        <w:rPr>
          <w:rFonts w:ascii="Times New Roman" w:eastAsia="Calibri" w:hAnsi="Times New Roman" w:cs="Times New Roman"/>
          <w:sz w:val="24"/>
          <w:szCs w:val="24"/>
          <w:lang w:val="en-GB"/>
        </w:rPr>
        <w:t xml:space="preserve">. </w:t>
      </w:r>
    </w:p>
    <w:p w14:paraId="6DB7E8EA" w14:textId="1A1F43DB" w:rsidR="00A436BC" w:rsidRPr="00920521" w:rsidRDefault="00451E48" w:rsidP="0091010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ROA measure</w:t>
      </w:r>
      <w:r w:rsidR="0091010D">
        <w:rPr>
          <w:rFonts w:ascii="Times New Roman" w:eastAsia="Calibri" w:hAnsi="Times New Roman" w:cs="Times New Roman"/>
          <w:sz w:val="24"/>
          <w:szCs w:val="24"/>
          <w:lang w:val="en-GB"/>
        </w:rPr>
        <w:t xml:space="preserve"> </w:t>
      </w:r>
      <w:r w:rsidR="0091010D" w:rsidRPr="00835692">
        <w:rPr>
          <w:rFonts w:ascii="Times New Roman" w:eastAsia="Calibri" w:hAnsi="Times New Roman" w:cs="Times New Roman"/>
          <w:sz w:val="24"/>
          <w:szCs w:val="24"/>
          <w:lang w:val="en-GB"/>
        </w:rPr>
        <w:t>reflect</w:t>
      </w:r>
      <w:r w:rsidR="007514CD">
        <w:rPr>
          <w:rFonts w:ascii="Times New Roman" w:eastAsia="Calibri" w:hAnsi="Times New Roman" w:cs="Times New Roman"/>
          <w:sz w:val="24"/>
          <w:szCs w:val="24"/>
          <w:lang w:val="en-GB"/>
        </w:rPr>
        <w:t>s</w:t>
      </w:r>
      <w:r w:rsidR="0091010D">
        <w:rPr>
          <w:rFonts w:ascii="Times New Roman" w:eastAsia="Calibri" w:hAnsi="Times New Roman" w:cs="Times New Roman"/>
          <w:sz w:val="24"/>
          <w:szCs w:val="24"/>
          <w:lang w:val="en-GB"/>
        </w:rPr>
        <w:t xml:space="preserve"> a</w:t>
      </w:r>
      <w:r w:rsidR="0091010D" w:rsidRPr="00835692">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firm’s</w:t>
      </w:r>
      <w:r w:rsidR="0091010D" w:rsidRPr="00835692">
        <w:rPr>
          <w:rFonts w:ascii="Times New Roman" w:eastAsia="Calibri" w:hAnsi="Times New Roman" w:cs="Times New Roman"/>
          <w:sz w:val="24"/>
          <w:szCs w:val="24"/>
          <w:lang w:val="en-GB"/>
        </w:rPr>
        <w:t xml:space="preserve"> capacity to</w:t>
      </w:r>
      <w:r w:rsidR="0091010D">
        <w:rPr>
          <w:rFonts w:ascii="Times New Roman" w:eastAsia="Calibri" w:hAnsi="Times New Roman" w:cs="Times New Roman"/>
          <w:sz w:val="24"/>
          <w:szCs w:val="24"/>
          <w:lang w:val="en-GB"/>
        </w:rPr>
        <w:t xml:space="preserve"> </w:t>
      </w:r>
      <w:r w:rsidR="0091010D" w:rsidRPr="00835692">
        <w:rPr>
          <w:rFonts w:ascii="Times New Roman" w:eastAsia="Calibri" w:hAnsi="Times New Roman" w:cs="Times New Roman"/>
          <w:sz w:val="24"/>
          <w:szCs w:val="24"/>
          <w:lang w:val="en-GB"/>
        </w:rPr>
        <w:t>improv</w:t>
      </w:r>
      <w:r w:rsidR="0091010D">
        <w:rPr>
          <w:rFonts w:ascii="Times New Roman" w:eastAsia="Calibri" w:hAnsi="Times New Roman" w:cs="Times New Roman"/>
          <w:sz w:val="24"/>
          <w:szCs w:val="24"/>
          <w:lang w:val="en-GB"/>
        </w:rPr>
        <w:t>e</w:t>
      </w:r>
      <w:r w:rsidR="0091010D" w:rsidRPr="00835692">
        <w:rPr>
          <w:rFonts w:ascii="Times New Roman" w:eastAsia="Calibri" w:hAnsi="Times New Roman" w:cs="Times New Roman"/>
          <w:sz w:val="24"/>
          <w:szCs w:val="24"/>
          <w:lang w:val="en-GB"/>
        </w:rPr>
        <w:t xml:space="preserve"> its performance</w:t>
      </w:r>
      <w:r w:rsidR="0091010D">
        <w:rPr>
          <w:rFonts w:ascii="Times New Roman" w:eastAsia="Calibri" w:hAnsi="Times New Roman" w:cs="Times New Roman"/>
          <w:sz w:val="24"/>
          <w:szCs w:val="24"/>
          <w:lang w:val="en-GB"/>
        </w:rPr>
        <w:t xml:space="preserve"> through increasing its </w:t>
      </w:r>
      <w:r w:rsidR="00387695">
        <w:rPr>
          <w:rFonts w:ascii="Times New Roman" w:eastAsia="Calibri" w:hAnsi="Times New Roman" w:cs="Times New Roman"/>
          <w:sz w:val="24"/>
          <w:szCs w:val="24"/>
          <w:lang w:val="en-GB"/>
        </w:rPr>
        <w:t>profit</w:t>
      </w:r>
      <w:r w:rsidR="0091010D">
        <w:rPr>
          <w:rFonts w:ascii="Times New Roman" w:eastAsia="Calibri" w:hAnsi="Times New Roman" w:cs="Times New Roman"/>
          <w:sz w:val="24"/>
          <w:szCs w:val="24"/>
          <w:lang w:val="en-GB"/>
        </w:rPr>
        <w:t xml:space="preserve"> margins</w:t>
      </w:r>
      <w:r>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w:t>
      </w:r>
      <w:r w:rsidR="00387695">
        <w:rPr>
          <w:rFonts w:ascii="Times New Roman" w:eastAsia="Calibri" w:hAnsi="Times New Roman" w:cs="Times New Roman"/>
          <w:sz w:val="24"/>
          <w:szCs w:val="24"/>
          <w:lang w:val="en-GB"/>
        </w:rPr>
        <w:t>This ratio</w:t>
      </w:r>
      <w:r w:rsidR="0091010D">
        <w:rPr>
          <w:rFonts w:ascii="Times New Roman" w:eastAsia="Calibri" w:hAnsi="Times New Roman" w:cs="Times New Roman"/>
          <w:sz w:val="24"/>
          <w:szCs w:val="24"/>
          <w:lang w:val="en-GB"/>
        </w:rPr>
        <w:t xml:space="preserve"> is a measure of broader public scope information</w:t>
      </w:r>
      <w:r w:rsidR="00CD1904">
        <w:rPr>
          <w:rFonts w:ascii="Times New Roman" w:eastAsia="Calibri" w:hAnsi="Times New Roman" w:cs="Times New Roman"/>
          <w:sz w:val="24"/>
          <w:szCs w:val="24"/>
          <w:lang w:val="en-GB"/>
        </w:rPr>
        <w:t>.</w:t>
      </w:r>
      <w:r w:rsidR="00387695">
        <w:rPr>
          <w:rFonts w:ascii="Times New Roman" w:eastAsia="Calibri" w:hAnsi="Times New Roman" w:cs="Times New Roman"/>
          <w:sz w:val="24"/>
          <w:szCs w:val="24"/>
          <w:lang w:val="en-GB"/>
        </w:rPr>
        <w:t xml:space="preserve"> </w:t>
      </w:r>
      <w:r w:rsidR="00515187">
        <w:rPr>
          <w:rFonts w:ascii="Times New Roman" w:eastAsia="Calibri" w:hAnsi="Times New Roman" w:cs="Times New Roman"/>
          <w:sz w:val="24"/>
          <w:szCs w:val="24"/>
          <w:lang w:val="en-GB"/>
        </w:rPr>
        <w:t>T</w:t>
      </w:r>
      <w:r w:rsidR="00443A4B">
        <w:rPr>
          <w:rFonts w:ascii="Times New Roman" w:eastAsia="Calibri" w:hAnsi="Times New Roman" w:cs="Times New Roman"/>
          <w:sz w:val="24"/>
          <w:szCs w:val="24"/>
          <w:lang w:val="en-GB"/>
        </w:rPr>
        <w:t xml:space="preserve">he </w:t>
      </w:r>
      <w:r w:rsidR="00E5169B">
        <w:rPr>
          <w:rFonts w:ascii="Times New Roman" w:eastAsia="Calibri" w:hAnsi="Times New Roman" w:cs="Times New Roman"/>
          <w:sz w:val="24"/>
          <w:szCs w:val="24"/>
          <w:lang w:val="en-GB"/>
        </w:rPr>
        <w:t xml:space="preserve">customer penalizations </w:t>
      </w:r>
      <w:r w:rsidR="002867F5">
        <w:rPr>
          <w:rFonts w:ascii="Times New Roman" w:eastAsia="Calibri" w:hAnsi="Times New Roman" w:cs="Times New Roman"/>
          <w:sz w:val="24"/>
          <w:szCs w:val="24"/>
          <w:lang w:val="en-GB"/>
        </w:rPr>
        <w:t>derived from</w:t>
      </w:r>
      <w:r w:rsidR="00EE7D41">
        <w:rPr>
          <w:rFonts w:ascii="Times New Roman" w:eastAsia="Calibri" w:hAnsi="Times New Roman" w:cs="Times New Roman"/>
          <w:sz w:val="24"/>
          <w:szCs w:val="24"/>
          <w:lang w:val="en-GB"/>
        </w:rPr>
        <w:t xml:space="preserve"> the </w:t>
      </w:r>
      <w:r w:rsidR="002867F5">
        <w:rPr>
          <w:rFonts w:ascii="Times New Roman" w:eastAsia="Calibri" w:hAnsi="Times New Roman" w:cs="Times New Roman"/>
          <w:sz w:val="24"/>
          <w:szCs w:val="24"/>
          <w:lang w:val="en-GB"/>
        </w:rPr>
        <w:t>deterioration of legitimacy</w:t>
      </w:r>
      <w:r w:rsidR="00EE7D41">
        <w:rPr>
          <w:rFonts w:ascii="Times New Roman" w:eastAsia="Calibri" w:hAnsi="Times New Roman" w:cs="Times New Roman"/>
          <w:sz w:val="24"/>
          <w:szCs w:val="24"/>
          <w:lang w:val="en-GB"/>
        </w:rPr>
        <w:t xml:space="preserve"> </w:t>
      </w:r>
      <w:r w:rsidR="00443A4B">
        <w:rPr>
          <w:rFonts w:ascii="Times New Roman" w:eastAsia="Calibri" w:hAnsi="Times New Roman" w:cs="Times New Roman"/>
          <w:sz w:val="24"/>
          <w:szCs w:val="24"/>
          <w:lang w:val="en-GB"/>
        </w:rPr>
        <w:t xml:space="preserve">status </w:t>
      </w:r>
      <w:r w:rsidR="00515187">
        <w:rPr>
          <w:rFonts w:ascii="Times New Roman" w:eastAsia="Calibri" w:hAnsi="Times New Roman" w:cs="Times New Roman"/>
          <w:sz w:val="24"/>
          <w:szCs w:val="24"/>
          <w:lang w:val="en-GB"/>
        </w:rPr>
        <w:t xml:space="preserve">are </w:t>
      </w:r>
      <w:r w:rsidR="00E5169B">
        <w:rPr>
          <w:rFonts w:ascii="Times New Roman" w:eastAsia="Calibri" w:hAnsi="Times New Roman" w:cs="Times New Roman"/>
          <w:sz w:val="24"/>
          <w:szCs w:val="24"/>
          <w:lang w:val="en-GB"/>
        </w:rPr>
        <w:t xml:space="preserve">captured through the reduction of the buyer’ </w:t>
      </w:r>
      <w:r w:rsidR="00443A4B">
        <w:rPr>
          <w:rFonts w:ascii="Times New Roman" w:eastAsia="Calibri" w:hAnsi="Times New Roman" w:cs="Times New Roman"/>
          <w:sz w:val="24"/>
          <w:szCs w:val="24"/>
          <w:lang w:val="en-GB"/>
        </w:rPr>
        <w:t>sales</w:t>
      </w:r>
      <w:r w:rsidR="00CD1904">
        <w:rPr>
          <w:rFonts w:ascii="Times New Roman" w:eastAsia="Calibri" w:hAnsi="Times New Roman" w:cs="Times New Roman"/>
          <w:sz w:val="24"/>
          <w:szCs w:val="24"/>
          <w:lang w:val="en-GB"/>
        </w:rPr>
        <w:t>, which impacts directly the ROA</w:t>
      </w:r>
      <w:r w:rsidR="00387695">
        <w:rPr>
          <w:rFonts w:ascii="Times New Roman" w:eastAsia="Calibri" w:hAnsi="Times New Roman" w:cs="Times New Roman"/>
          <w:sz w:val="24"/>
          <w:szCs w:val="24"/>
          <w:lang w:val="en-GB"/>
        </w:rPr>
        <w:t>.</w:t>
      </w:r>
      <w:r w:rsidR="0091010D">
        <w:rPr>
          <w:rFonts w:ascii="Times New Roman" w:eastAsia="Calibri" w:hAnsi="Times New Roman" w:cs="Times New Roman"/>
          <w:sz w:val="24"/>
          <w:szCs w:val="24"/>
          <w:lang w:val="en-GB"/>
        </w:rPr>
        <w:t xml:space="preserve"> </w:t>
      </w:r>
      <w:r w:rsidR="00387695">
        <w:rPr>
          <w:rFonts w:ascii="Times New Roman" w:eastAsia="Calibri" w:hAnsi="Times New Roman" w:cs="Times New Roman"/>
          <w:sz w:val="24"/>
          <w:szCs w:val="24"/>
          <w:lang w:val="en-GB"/>
        </w:rPr>
        <w:t>In contrast, Tobin’s q is highly specialized information</w:t>
      </w:r>
      <w:r w:rsidR="00A436BC">
        <w:rPr>
          <w:rFonts w:ascii="Times New Roman" w:eastAsia="Calibri" w:hAnsi="Times New Roman" w:cs="Times New Roman"/>
          <w:sz w:val="24"/>
          <w:szCs w:val="24"/>
          <w:lang w:val="en-GB"/>
        </w:rPr>
        <w:t>, reflecting other stakeholders’ reactions</w:t>
      </w:r>
      <w:r w:rsidR="004F00F9">
        <w:rPr>
          <w:rFonts w:ascii="Times New Roman" w:eastAsia="Calibri" w:hAnsi="Times New Roman" w:cs="Times New Roman"/>
          <w:sz w:val="24"/>
          <w:szCs w:val="24"/>
          <w:lang w:val="en-GB"/>
        </w:rPr>
        <w:t>, especially the investors</w:t>
      </w:r>
      <w:r w:rsidR="00A436BC">
        <w:rPr>
          <w:rFonts w:ascii="Times New Roman" w:eastAsia="Calibri" w:hAnsi="Times New Roman" w:cs="Times New Roman"/>
          <w:sz w:val="24"/>
          <w:szCs w:val="24"/>
          <w:lang w:val="en-GB"/>
        </w:rPr>
        <w:t>. It</w:t>
      </w:r>
      <w:r w:rsidR="00A436BC" w:rsidRPr="00A436BC">
        <w:rPr>
          <w:rFonts w:ascii="Times New Roman" w:eastAsia="Calibri" w:hAnsi="Times New Roman" w:cs="Times New Roman"/>
          <w:sz w:val="24"/>
          <w:szCs w:val="24"/>
          <w:lang w:val="en-GB"/>
        </w:rPr>
        <w:t xml:space="preserve"> relies on the efficient market hypothesis, which suggests that the stock price of a firm reflects all currently available public </w:t>
      </w:r>
      <w:r w:rsidR="004F00F9">
        <w:rPr>
          <w:rFonts w:ascii="Times New Roman" w:eastAsia="Calibri" w:hAnsi="Times New Roman" w:cs="Times New Roman"/>
          <w:sz w:val="24"/>
          <w:szCs w:val="24"/>
          <w:lang w:val="en-GB"/>
        </w:rPr>
        <w:t>elements</w:t>
      </w:r>
      <w:r w:rsidR="00A436BC" w:rsidRPr="00A436BC">
        <w:rPr>
          <w:rFonts w:ascii="Times New Roman" w:eastAsia="Calibri" w:hAnsi="Times New Roman" w:cs="Times New Roman"/>
          <w:sz w:val="24"/>
          <w:szCs w:val="24"/>
          <w:lang w:val="en-GB"/>
        </w:rPr>
        <w:t xml:space="preserve">, </w:t>
      </w:r>
      <w:r w:rsidR="00A436BC">
        <w:rPr>
          <w:rFonts w:ascii="Times New Roman" w:eastAsia="Calibri" w:hAnsi="Times New Roman" w:cs="Times New Roman"/>
          <w:sz w:val="24"/>
          <w:szCs w:val="24"/>
          <w:lang w:val="en-GB"/>
        </w:rPr>
        <w:t xml:space="preserve">so information about </w:t>
      </w:r>
      <w:r w:rsidR="00A436BC" w:rsidRPr="00A436BC">
        <w:rPr>
          <w:rFonts w:ascii="Times New Roman" w:eastAsia="Calibri" w:hAnsi="Times New Roman" w:cs="Times New Roman"/>
          <w:sz w:val="24"/>
          <w:szCs w:val="24"/>
          <w:lang w:val="en-GB"/>
        </w:rPr>
        <w:t xml:space="preserve">unsustainable </w:t>
      </w:r>
      <w:proofErr w:type="spellStart"/>
      <w:r w:rsidR="00A436BC" w:rsidRPr="00A436BC">
        <w:rPr>
          <w:rFonts w:ascii="Times New Roman" w:eastAsia="Calibri" w:hAnsi="Times New Roman" w:cs="Times New Roman"/>
          <w:sz w:val="24"/>
          <w:szCs w:val="24"/>
          <w:lang w:val="en-GB"/>
        </w:rPr>
        <w:t>behaviors</w:t>
      </w:r>
      <w:proofErr w:type="spellEnd"/>
      <w:r w:rsidR="00A436BC" w:rsidRPr="00A436BC">
        <w:rPr>
          <w:rFonts w:ascii="Times New Roman" w:eastAsia="Calibri" w:hAnsi="Times New Roman" w:cs="Times New Roman"/>
          <w:sz w:val="24"/>
          <w:szCs w:val="24"/>
          <w:lang w:val="en-GB"/>
        </w:rPr>
        <w:t xml:space="preserve"> will also be in</w:t>
      </w:r>
      <w:r w:rsidR="004F00F9">
        <w:rPr>
          <w:rFonts w:ascii="Times New Roman" w:eastAsia="Calibri" w:hAnsi="Times New Roman" w:cs="Times New Roman"/>
          <w:sz w:val="24"/>
          <w:szCs w:val="24"/>
          <w:lang w:val="en-GB"/>
        </w:rPr>
        <w:t>tegrate</w:t>
      </w:r>
      <w:r w:rsidR="00A436BC" w:rsidRPr="00A436BC">
        <w:rPr>
          <w:rFonts w:ascii="Times New Roman" w:eastAsia="Calibri" w:hAnsi="Times New Roman" w:cs="Times New Roman"/>
          <w:sz w:val="24"/>
          <w:szCs w:val="24"/>
          <w:lang w:val="en-GB"/>
        </w:rPr>
        <w:t>d in</w:t>
      </w:r>
      <w:r w:rsidR="004F00F9">
        <w:rPr>
          <w:rFonts w:ascii="Times New Roman" w:eastAsia="Calibri" w:hAnsi="Times New Roman" w:cs="Times New Roman"/>
          <w:sz w:val="24"/>
          <w:szCs w:val="24"/>
          <w:lang w:val="en-GB"/>
        </w:rPr>
        <w:t>to</w:t>
      </w:r>
      <w:r w:rsidR="00A436BC" w:rsidRPr="00A436BC">
        <w:rPr>
          <w:rFonts w:ascii="Times New Roman" w:eastAsia="Calibri" w:hAnsi="Times New Roman" w:cs="Times New Roman"/>
          <w:sz w:val="24"/>
          <w:szCs w:val="24"/>
          <w:lang w:val="en-GB"/>
        </w:rPr>
        <w:t xml:space="preserve"> the market valuation of the company</w:t>
      </w:r>
      <w:r w:rsidR="00A436BC">
        <w:rPr>
          <w:rFonts w:ascii="Times New Roman" w:eastAsia="Calibri" w:hAnsi="Times New Roman" w:cs="Times New Roman"/>
          <w:sz w:val="24"/>
          <w:szCs w:val="24"/>
          <w:lang w:val="en-GB"/>
        </w:rPr>
        <w:t xml:space="preserve">. </w:t>
      </w:r>
      <w:bookmarkStart w:id="7" w:name="_Hlk93479711"/>
      <w:r w:rsidR="00A436BC">
        <w:rPr>
          <w:rFonts w:ascii="Times New Roman" w:eastAsia="Calibri" w:hAnsi="Times New Roman" w:cs="Times New Roman"/>
          <w:sz w:val="24"/>
          <w:szCs w:val="24"/>
          <w:lang w:val="en-GB"/>
        </w:rPr>
        <w:t xml:space="preserve">This means </w:t>
      </w:r>
      <w:r w:rsidR="00CD1904">
        <w:rPr>
          <w:rFonts w:ascii="Times New Roman" w:eastAsia="Calibri" w:hAnsi="Times New Roman" w:cs="Times New Roman"/>
          <w:sz w:val="24"/>
          <w:szCs w:val="24"/>
          <w:lang w:val="en-GB"/>
        </w:rPr>
        <w:t xml:space="preserve">that the </w:t>
      </w:r>
      <w:r w:rsidR="008354C8">
        <w:rPr>
          <w:rFonts w:ascii="Times New Roman" w:eastAsia="Calibri" w:hAnsi="Times New Roman" w:cs="Times New Roman"/>
          <w:sz w:val="24"/>
          <w:szCs w:val="24"/>
          <w:lang w:val="en-GB"/>
        </w:rPr>
        <w:t>deterioration o</w:t>
      </w:r>
      <w:r w:rsidR="00CD1904">
        <w:rPr>
          <w:rFonts w:ascii="Times New Roman" w:eastAsia="Calibri" w:hAnsi="Times New Roman" w:cs="Times New Roman"/>
          <w:sz w:val="24"/>
          <w:szCs w:val="24"/>
          <w:lang w:val="en-GB"/>
        </w:rPr>
        <w:t xml:space="preserve">f </w:t>
      </w:r>
      <w:r w:rsidR="008354C8">
        <w:rPr>
          <w:rFonts w:ascii="Times New Roman" w:eastAsia="Calibri" w:hAnsi="Times New Roman" w:cs="Times New Roman"/>
          <w:sz w:val="24"/>
          <w:szCs w:val="24"/>
          <w:lang w:val="en-GB"/>
        </w:rPr>
        <w:t xml:space="preserve">sustainability </w:t>
      </w:r>
      <w:r w:rsidR="00CD1904">
        <w:rPr>
          <w:rFonts w:ascii="Times New Roman" w:eastAsia="Calibri" w:hAnsi="Times New Roman" w:cs="Times New Roman"/>
          <w:sz w:val="24"/>
          <w:szCs w:val="24"/>
          <w:lang w:val="en-GB"/>
        </w:rPr>
        <w:t>legitimacy may negatively affect</w:t>
      </w:r>
      <w:r w:rsidR="00A436BC">
        <w:rPr>
          <w:rFonts w:ascii="Times New Roman" w:eastAsia="Calibri" w:hAnsi="Times New Roman" w:cs="Times New Roman"/>
          <w:sz w:val="24"/>
          <w:szCs w:val="24"/>
          <w:lang w:val="en-GB"/>
        </w:rPr>
        <w:t xml:space="preserve"> firm valuation,</w:t>
      </w:r>
      <w:bookmarkEnd w:id="7"/>
      <w:r w:rsidR="00A436BC">
        <w:rPr>
          <w:rFonts w:ascii="Times New Roman" w:eastAsia="Calibri" w:hAnsi="Times New Roman" w:cs="Times New Roman"/>
          <w:sz w:val="24"/>
          <w:szCs w:val="24"/>
          <w:lang w:val="en-GB"/>
        </w:rPr>
        <w:t xml:space="preserve"> </w:t>
      </w:r>
      <w:r w:rsidR="004F00F9">
        <w:rPr>
          <w:rFonts w:ascii="Times New Roman" w:eastAsia="Calibri" w:hAnsi="Times New Roman" w:cs="Times New Roman"/>
          <w:sz w:val="24"/>
          <w:szCs w:val="24"/>
          <w:lang w:val="en-GB"/>
        </w:rPr>
        <w:t>even if the customers do not end up reducing their purchases</w:t>
      </w:r>
      <w:r w:rsidR="004B489B">
        <w:rPr>
          <w:rFonts w:ascii="Times New Roman" w:eastAsia="Calibri" w:hAnsi="Times New Roman" w:cs="Times New Roman"/>
          <w:sz w:val="24"/>
          <w:szCs w:val="24"/>
          <w:lang w:val="en-GB"/>
        </w:rPr>
        <w:t xml:space="preserve"> substantially</w:t>
      </w:r>
      <w:r w:rsidR="00443A4B" w:rsidRPr="00CD1904">
        <w:rPr>
          <w:rFonts w:ascii="Times New Roman" w:eastAsia="Calibri" w:hAnsi="Times New Roman" w:cs="Times New Roman"/>
          <w:sz w:val="24"/>
          <w:szCs w:val="24"/>
          <w:lang w:val="en-GB"/>
        </w:rPr>
        <w:t>.</w:t>
      </w:r>
      <w:r w:rsidR="00CD1904" w:rsidRPr="00CD1904">
        <w:rPr>
          <w:rFonts w:ascii="Times New Roman" w:eastAsia="Calibri" w:hAnsi="Times New Roman" w:cs="Times New Roman"/>
          <w:sz w:val="24"/>
          <w:szCs w:val="24"/>
          <w:lang w:val="en-GB"/>
        </w:rPr>
        <w:t xml:space="preserve"> </w:t>
      </w:r>
      <w:r w:rsidR="00CD1904" w:rsidRPr="007A51BE">
        <w:rPr>
          <w:rFonts w:ascii="Times New Roman" w:eastAsia="Calibri" w:hAnsi="Times New Roman" w:cs="Times New Roman"/>
          <w:sz w:val="24"/>
          <w:szCs w:val="24"/>
          <w:lang w:val="en-GB"/>
        </w:rPr>
        <w:t>Thus, Tobin’</w:t>
      </w:r>
      <w:r w:rsidR="00920521" w:rsidRPr="007A51BE">
        <w:rPr>
          <w:rFonts w:ascii="Times New Roman" w:eastAsia="Calibri" w:hAnsi="Times New Roman" w:cs="Times New Roman"/>
          <w:sz w:val="24"/>
          <w:szCs w:val="24"/>
          <w:lang w:val="en-GB"/>
        </w:rPr>
        <w:t xml:space="preserve">s Q can be used to evaluate </w:t>
      </w:r>
      <w:r w:rsidR="00CD1904" w:rsidRPr="007A51BE">
        <w:rPr>
          <w:rFonts w:ascii="Times New Roman" w:eastAsia="Calibri" w:hAnsi="Times New Roman" w:cs="Times New Roman"/>
          <w:sz w:val="24"/>
          <w:szCs w:val="24"/>
          <w:lang w:val="en-GB"/>
        </w:rPr>
        <w:t>the impact of s</w:t>
      </w:r>
      <w:r w:rsidR="00920521" w:rsidRPr="00920521">
        <w:rPr>
          <w:rFonts w:ascii="Times New Roman" w:eastAsia="Calibri" w:hAnsi="Times New Roman" w:cs="Times New Roman"/>
          <w:sz w:val="24"/>
          <w:szCs w:val="24"/>
          <w:lang w:val="en-GB"/>
        </w:rPr>
        <w:t>ustainability asymmetries</w:t>
      </w:r>
      <w:r w:rsidR="00920521" w:rsidRPr="007A51BE">
        <w:rPr>
          <w:rFonts w:ascii="Times New Roman" w:eastAsia="Calibri" w:hAnsi="Times New Roman" w:cs="Times New Roman"/>
          <w:sz w:val="24"/>
          <w:szCs w:val="24"/>
          <w:lang w:val="en-GB"/>
        </w:rPr>
        <w:t xml:space="preserve"> from the perspective of investors</w:t>
      </w:r>
      <w:r w:rsidR="00920521" w:rsidRPr="00920521">
        <w:rPr>
          <w:rFonts w:ascii="Times New Roman" w:eastAsia="Calibri" w:hAnsi="Times New Roman" w:cs="Times New Roman"/>
          <w:sz w:val="24"/>
          <w:szCs w:val="24"/>
          <w:lang w:val="en-GB"/>
        </w:rPr>
        <w:t>, whereas ROA reflects the perspective of the customers.</w:t>
      </w:r>
    </w:p>
    <w:p w14:paraId="1FDF8D32" w14:textId="284614E6" w:rsidR="0091010D" w:rsidRPr="00873B4D" w:rsidRDefault="00186E4A" w:rsidP="0091010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Our independent variables are the</w:t>
      </w:r>
      <w:r w:rsidR="0091010D">
        <w:rPr>
          <w:rFonts w:ascii="Times New Roman" w:eastAsia="Calibri" w:hAnsi="Times New Roman" w:cs="Times New Roman"/>
          <w:sz w:val="24"/>
          <w:szCs w:val="24"/>
          <w:lang w:val="en-GB"/>
        </w:rPr>
        <w:t xml:space="preserve"> s</w:t>
      </w:r>
      <w:r w:rsidR="0091010D" w:rsidRPr="00873B4D">
        <w:rPr>
          <w:rFonts w:ascii="Times New Roman" w:eastAsia="Calibri" w:hAnsi="Times New Roman" w:cs="Times New Roman"/>
          <w:sz w:val="24"/>
          <w:szCs w:val="24"/>
          <w:lang w:val="en-GB"/>
        </w:rPr>
        <w:t>ustainability asymmetri</w:t>
      </w:r>
      <w:r w:rsidR="0091010D">
        <w:rPr>
          <w:rFonts w:ascii="Times New Roman" w:eastAsia="Calibri" w:hAnsi="Times New Roman" w:cs="Times New Roman"/>
          <w:sz w:val="24"/>
          <w:szCs w:val="24"/>
          <w:lang w:val="en-GB"/>
        </w:rPr>
        <w:t>es</w:t>
      </w:r>
      <w:r w:rsidR="00D642A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which</w:t>
      </w:r>
      <w:r w:rsidR="0091010D" w:rsidRPr="00873B4D">
        <w:rPr>
          <w:rFonts w:ascii="Times New Roman" w:eastAsia="Calibri" w:hAnsi="Times New Roman" w:cs="Times New Roman"/>
          <w:sz w:val="24"/>
          <w:szCs w:val="24"/>
          <w:lang w:val="en-GB"/>
        </w:rPr>
        <w:t xml:space="preserve"> were computed using information from </w:t>
      </w:r>
      <w:proofErr w:type="spellStart"/>
      <w:r w:rsidR="0091010D">
        <w:rPr>
          <w:rFonts w:ascii="Times New Roman" w:eastAsia="Calibri" w:hAnsi="Times New Roman" w:cs="Times New Roman"/>
          <w:sz w:val="24"/>
          <w:szCs w:val="24"/>
          <w:lang w:val="en-GB"/>
        </w:rPr>
        <w:t>Refinitiv</w:t>
      </w:r>
      <w:proofErr w:type="spellEnd"/>
      <w:r w:rsidR="0091010D">
        <w:rPr>
          <w:rFonts w:ascii="Times New Roman" w:eastAsia="Calibri" w:hAnsi="Times New Roman" w:cs="Times New Roman"/>
          <w:sz w:val="24"/>
          <w:szCs w:val="24"/>
          <w:lang w:val="en-GB"/>
        </w:rPr>
        <w:t xml:space="preserve"> Eikon regarding widely acknowledged areas of environmental and social sustainability dimensions</w:t>
      </w:r>
      <w:r w:rsidR="008D53D3">
        <w:rPr>
          <w:rFonts w:ascii="Times New Roman" w:eastAsia="Calibri" w:hAnsi="Times New Roman" w:cs="Times New Roman"/>
          <w:sz w:val="24"/>
          <w:szCs w:val="24"/>
          <w:lang w:val="en-GB"/>
        </w:rPr>
        <w:t xml:space="preserve"> (See details in Appendix</w:t>
      </w:r>
      <w:r w:rsidR="007F442D">
        <w:rPr>
          <w:rFonts w:ascii="Times New Roman" w:eastAsia="Calibri" w:hAnsi="Times New Roman" w:cs="Times New Roman"/>
          <w:sz w:val="24"/>
          <w:szCs w:val="24"/>
          <w:lang w:val="en-GB"/>
        </w:rPr>
        <w:t xml:space="preserve"> A</w:t>
      </w:r>
      <w:r w:rsidR="008D53D3">
        <w:rPr>
          <w:rFonts w:ascii="Times New Roman" w:eastAsia="Calibri" w:hAnsi="Times New Roman" w:cs="Times New Roman"/>
          <w:sz w:val="24"/>
          <w:szCs w:val="24"/>
          <w:lang w:val="en-GB"/>
        </w:rPr>
        <w:t>)</w:t>
      </w:r>
      <w:r w:rsidR="0091010D">
        <w:rPr>
          <w:rFonts w:ascii="Times New Roman" w:eastAsia="Calibri" w:hAnsi="Times New Roman" w:cs="Times New Roman"/>
          <w:sz w:val="24"/>
          <w:szCs w:val="24"/>
          <w:lang w:val="en-GB"/>
        </w:rPr>
        <w:t>. W</w:t>
      </w:r>
      <w:r w:rsidR="0091010D" w:rsidRPr="00873B4D">
        <w:rPr>
          <w:rFonts w:ascii="Times New Roman" w:eastAsia="Calibri" w:hAnsi="Times New Roman" w:cs="Times New Roman"/>
          <w:sz w:val="24"/>
          <w:szCs w:val="24"/>
          <w:lang w:val="en-GB"/>
        </w:rPr>
        <w:t xml:space="preserve">e </w:t>
      </w:r>
      <w:r w:rsidR="00100741">
        <w:rPr>
          <w:rFonts w:ascii="Times New Roman" w:eastAsia="Calibri" w:hAnsi="Times New Roman" w:cs="Times New Roman"/>
          <w:sz w:val="24"/>
          <w:szCs w:val="24"/>
          <w:lang w:val="en-GB"/>
        </w:rPr>
        <w:t>use</w:t>
      </w:r>
      <w:r w:rsidR="00100741" w:rsidRPr="00873B4D">
        <w:rPr>
          <w:rFonts w:ascii="Times New Roman" w:eastAsia="Calibri" w:hAnsi="Times New Roman" w:cs="Times New Roman"/>
          <w:sz w:val="24"/>
          <w:szCs w:val="24"/>
          <w:lang w:val="en-GB"/>
        </w:rPr>
        <w:t xml:space="preserve"> </w:t>
      </w:r>
      <w:r w:rsidR="00100741">
        <w:rPr>
          <w:rFonts w:ascii="Times New Roman" w:eastAsia="Calibri" w:hAnsi="Times New Roman" w:cs="Times New Roman"/>
          <w:sz w:val="24"/>
          <w:szCs w:val="24"/>
          <w:lang w:val="en-GB"/>
        </w:rPr>
        <w:t>a</w:t>
      </w:r>
      <w:r w:rsidR="00100741" w:rsidRPr="00873B4D">
        <w:rPr>
          <w:rFonts w:ascii="Times New Roman" w:eastAsia="Calibri" w:hAnsi="Times New Roman" w:cs="Times New Roman"/>
          <w:sz w:val="24"/>
          <w:szCs w:val="24"/>
          <w:lang w:val="en-GB"/>
        </w:rPr>
        <w:t xml:space="preserve"> </w:t>
      </w:r>
      <w:r w:rsidR="00100741">
        <w:rPr>
          <w:rFonts w:ascii="Times New Roman" w:eastAsia="Calibri" w:hAnsi="Times New Roman" w:cs="Times New Roman"/>
          <w:sz w:val="24"/>
          <w:szCs w:val="24"/>
          <w:lang w:val="en-GB"/>
        </w:rPr>
        <w:t>three</w:t>
      </w:r>
      <w:r w:rsidR="00100741" w:rsidRPr="00873B4D">
        <w:rPr>
          <w:rFonts w:ascii="Times New Roman" w:eastAsia="Calibri" w:hAnsi="Times New Roman" w:cs="Times New Roman"/>
          <w:sz w:val="24"/>
          <w:szCs w:val="24"/>
          <w:lang w:val="en-GB"/>
        </w:rPr>
        <w:t xml:space="preserve">-level status </w:t>
      </w:r>
      <w:r w:rsidR="00100741">
        <w:rPr>
          <w:rFonts w:ascii="Times New Roman" w:eastAsia="Calibri" w:hAnsi="Times New Roman" w:cs="Times New Roman"/>
          <w:sz w:val="24"/>
          <w:szCs w:val="24"/>
          <w:lang w:val="en-GB"/>
        </w:rPr>
        <w:t>framework</w:t>
      </w:r>
      <w:r w:rsidR="00100741" w:rsidRPr="00873B4D">
        <w:rPr>
          <w:rFonts w:ascii="Times New Roman" w:eastAsia="Calibri" w:hAnsi="Times New Roman" w:cs="Times New Roman"/>
          <w:sz w:val="24"/>
          <w:szCs w:val="24"/>
          <w:lang w:val="en-GB"/>
        </w:rPr>
        <w:t xml:space="preserve"> </w:t>
      </w:r>
      <w:r w:rsidR="00100741">
        <w:rPr>
          <w:rFonts w:ascii="Times New Roman" w:eastAsia="Calibri" w:hAnsi="Times New Roman" w:cs="Times New Roman"/>
          <w:sz w:val="24"/>
          <w:szCs w:val="24"/>
          <w:lang w:val="en-GB"/>
        </w:rPr>
        <w:t xml:space="preserve">to operationalize </w:t>
      </w:r>
      <w:r w:rsidR="0091010D" w:rsidRPr="00873B4D">
        <w:rPr>
          <w:rFonts w:ascii="Times New Roman" w:eastAsia="Calibri" w:hAnsi="Times New Roman" w:cs="Times New Roman"/>
          <w:sz w:val="24"/>
          <w:szCs w:val="24"/>
          <w:lang w:val="en-GB"/>
        </w:rPr>
        <w:t>t</w:t>
      </w:r>
      <w:r w:rsidR="0091010D">
        <w:rPr>
          <w:rFonts w:ascii="Times New Roman" w:eastAsia="Calibri" w:hAnsi="Times New Roman" w:cs="Times New Roman"/>
          <w:sz w:val="24"/>
          <w:szCs w:val="24"/>
          <w:lang w:val="en-GB"/>
        </w:rPr>
        <w:t>he variables emission reduction and</w:t>
      </w:r>
      <w:r w:rsidR="0091010D" w:rsidRPr="00873B4D">
        <w:rPr>
          <w:rFonts w:ascii="Times New Roman" w:eastAsia="Calibri" w:hAnsi="Times New Roman" w:cs="Times New Roman"/>
          <w:sz w:val="24"/>
          <w:szCs w:val="24"/>
          <w:lang w:val="en-GB"/>
        </w:rPr>
        <w:t xml:space="preserve"> resource reduction</w:t>
      </w:r>
      <w:r w:rsidR="0091010D" w:rsidRPr="00711F5E">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 xml:space="preserve">for the environmental sustainability dimension, </w:t>
      </w:r>
      <w:r w:rsidR="005A70F5">
        <w:rPr>
          <w:rFonts w:ascii="Times New Roman" w:eastAsia="Calibri" w:hAnsi="Times New Roman" w:cs="Times New Roman"/>
          <w:sz w:val="24"/>
          <w:szCs w:val="24"/>
          <w:lang w:val="en-GB"/>
        </w:rPr>
        <w:t>plus</w:t>
      </w:r>
      <w:r w:rsidR="005A70F5" w:rsidRPr="00873B4D">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 xml:space="preserve">health and safety and human rights </w:t>
      </w:r>
      <w:r w:rsidR="0091010D">
        <w:rPr>
          <w:rFonts w:ascii="Times New Roman" w:eastAsia="Calibri" w:hAnsi="Times New Roman" w:cs="Times New Roman"/>
          <w:sz w:val="24"/>
          <w:szCs w:val="24"/>
          <w:lang w:val="en-GB"/>
        </w:rPr>
        <w:t>for the social sustainability dimension</w:t>
      </w:r>
      <w:r w:rsidR="0091010D" w:rsidRPr="004C71AE">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for buyer firms and top suppliers</w:t>
      </w:r>
      <w:r w:rsidR="0091010D" w:rsidRPr="00873B4D">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 xml:space="preserve">The framework employed is described as follows. </w:t>
      </w:r>
      <w:r w:rsidR="0091010D" w:rsidRPr="00873B4D">
        <w:rPr>
          <w:rFonts w:ascii="Times New Roman" w:eastAsia="Calibri" w:hAnsi="Times New Roman" w:cs="Times New Roman"/>
          <w:sz w:val="24"/>
          <w:szCs w:val="24"/>
          <w:lang w:val="en-GB"/>
        </w:rPr>
        <w:t xml:space="preserve">If </w:t>
      </w:r>
      <w:r w:rsidR="0091010D">
        <w:rPr>
          <w:rFonts w:ascii="Times New Roman" w:eastAsia="Calibri" w:hAnsi="Times New Roman" w:cs="Times New Roman"/>
          <w:sz w:val="24"/>
          <w:szCs w:val="24"/>
          <w:lang w:val="en-GB"/>
        </w:rPr>
        <w:t>a</w:t>
      </w:r>
      <w:r w:rsidR="0091010D" w:rsidRPr="00873B4D">
        <w:rPr>
          <w:rFonts w:ascii="Times New Roman" w:eastAsia="Calibri" w:hAnsi="Times New Roman" w:cs="Times New Roman"/>
          <w:sz w:val="24"/>
          <w:szCs w:val="24"/>
          <w:lang w:val="en-GB"/>
        </w:rPr>
        <w:t xml:space="preserve"> firm had only established </w:t>
      </w:r>
      <w:r w:rsidR="0091010D">
        <w:rPr>
          <w:rFonts w:ascii="Times New Roman" w:eastAsia="Calibri" w:hAnsi="Times New Roman" w:cs="Times New Roman"/>
          <w:sz w:val="24"/>
          <w:szCs w:val="24"/>
          <w:lang w:val="en-GB"/>
        </w:rPr>
        <w:t>a</w:t>
      </w:r>
      <w:r w:rsidR="0091010D" w:rsidRPr="00873B4D">
        <w:rPr>
          <w:rFonts w:ascii="Times New Roman" w:eastAsia="Calibri" w:hAnsi="Times New Roman" w:cs="Times New Roman"/>
          <w:sz w:val="24"/>
          <w:szCs w:val="24"/>
          <w:lang w:val="en-GB"/>
        </w:rPr>
        <w:t xml:space="preserve"> policy, and no additional steps </w:t>
      </w:r>
      <w:r w:rsidR="0091010D">
        <w:rPr>
          <w:rFonts w:ascii="Times New Roman" w:eastAsia="Calibri" w:hAnsi="Times New Roman" w:cs="Times New Roman"/>
          <w:sz w:val="24"/>
          <w:szCs w:val="24"/>
          <w:lang w:val="en-GB"/>
        </w:rPr>
        <w:t xml:space="preserve">were </w:t>
      </w:r>
      <w:r w:rsidR="0091010D" w:rsidRPr="00873B4D">
        <w:rPr>
          <w:rFonts w:ascii="Times New Roman" w:eastAsia="Calibri" w:hAnsi="Times New Roman" w:cs="Times New Roman"/>
          <w:sz w:val="24"/>
          <w:szCs w:val="24"/>
          <w:lang w:val="en-GB"/>
        </w:rPr>
        <w:t xml:space="preserve">taken, we </w:t>
      </w:r>
      <w:r w:rsidR="0091010D">
        <w:rPr>
          <w:rFonts w:ascii="Times New Roman" w:eastAsia="Calibri" w:hAnsi="Times New Roman" w:cs="Times New Roman"/>
          <w:sz w:val="24"/>
          <w:szCs w:val="24"/>
          <w:lang w:val="en-GB"/>
        </w:rPr>
        <w:t xml:space="preserve">then </w:t>
      </w:r>
      <w:r w:rsidR="0091010D" w:rsidRPr="00873B4D">
        <w:rPr>
          <w:rFonts w:ascii="Times New Roman" w:eastAsia="Calibri" w:hAnsi="Times New Roman" w:cs="Times New Roman"/>
          <w:sz w:val="24"/>
          <w:szCs w:val="24"/>
          <w:lang w:val="en-GB"/>
        </w:rPr>
        <w:t>classified it as</w:t>
      </w:r>
      <w:r w:rsidR="0091010D">
        <w:rPr>
          <w:rFonts w:ascii="Times New Roman" w:eastAsia="Calibri" w:hAnsi="Times New Roman" w:cs="Times New Roman"/>
          <w:sz w:val="24"/>
          <w:szCs w:val="24"/>
          <w:lang w:val="en-GB"/>
        </w:rPr>
        <w:t xml:space="preserve"> having a “</w:t>
      </w:r>
      <w:r w:rsidR="0091010D" w:rsidRPr="00873B4D">
        <w:rPr>
          <w:rFonts w:ascii="Times New Roman" w:eastAsia="Calibri" w:hAnsi="Times New Roman" w:cs="Times New Roman"/>
          <w:sz w:val="24"/>
          <w:szCs w:val="24"/>
          <w:lang w:val="en-GB"/>
        </w:rPr>
        <w:t>first level”</w:t>
      </w:r>
      <w:r w:rsidR="0091010D">
        <w:rPr>
          <w:rFonts w:ascii="Times New Roman" w:eastAsia="Calibri" w:hAnsi="Times New Roman" w:cs="Times New Roman"/>
          <w:sz w:val="24"/>
          <w:szCs w:val="24"/>
          <w:lang w:val="en-GB"/>
        </w:rPr>
        <w:t xml:space="preserve"> </w:t>
      </w:r>
      <w:r w:rsidR="00BB2091">
        <w:rPr>
          <w:rFonts w:ascii="Times New Roman" w:eastAsia="Calibri" w:hAnsi="Times New Roman" w:cs="Times New Roman"/>
          <w:sz w:val="24"/>
          <w:szCs w:val="24"/>
          <w:lang w:val="en-GB"/>
        </w:rPr>
        <w:t>development</w:t>
      </w:r>
      <w:r w:rsidR="0091010D">
        <w:rPr>
          <w:rFonts w:ascii="Times New Roman" w:eastAsia="Calibri" w:hAnsi="Times New Roman" w:cs="Times New Roman"/>
          <w:sz w:val="24"/>
          <w:szCs w:val="24"/>
          <w:lang w:val="en-GB"/>
        </w:rPr>
        <w:t>. I</w:t>
      </w:r>
      <w:r w:rsidR="0091010D" w:rsidRPr="00873B4D">
        <w:rPr>
          <w:rFonts w:ascii="Times New Roman" w:eastAsia="Calibri" w:hAnsi="Times New Roman" w:cs="Times New Roman"/>
          <w:sz w:val="24"/>
          <w:szCs w:val="24"/>
          <w:lang w:val="en-GB"/>
        </w:rPr>
        <w:t xml:space="preserve">f </w:t>
      </w:r>
      <w:r w:rsidR="0091010D">
        <w:rPr>
          <w:rFonts w:ascii="Times New Roman" w:eastAsia="Calibri" w:hAnsi="Times New Roman" w:cs="Times New Roman"/>
          <w:sz w:val="24"/>
          <w:szCs w:val="24"/>
          <w:lang w:val="en-GB"/>
        </w:rPr>
        <w:t>a</w:t>
      </w:r>
      <w:r w:rsidR="0091010D" w:rsidRPr="00873B4D">
        <w:rPr>
          <w:rFonts w:ascii="Times New Roman" w:eastAsia="Calibri" w:hAnsi="Times New Roman" w:cs="Times New Roman"/>
          <w:sz w:val="24"/>
          <w:szCs w:val="24"/>
          <w:lang w:val="en-GB"/>
        </w:rPr>
        <w:t xml:space="preserve"> firm had established </w:t>
      </w:r>
      <w:r w:rsidR="0091010D">
        <w:rPr>
          <w:rFonts w:ascii="Times New Roman" w:eastAsia="Calibri" w:hAnsi="Times New Roman" w:cs="Times New Roman"/>
          <w:sz w:val="24"/>
          <w:szCs w:val="24"/>
          <w:lang w:val="en-GB"/>
        </w:rPr>
        <w:t>a</w:t>
      </w:r>
      <w:r w:rsidR="0091010D" w:rsidRPr="00873B4D">
        <w:rPr>
          <w:rFonts w:ascii="Times New Roman" w:eastAsia="Calibri" w:hAnsi="Times New Roman" w:cs="Times New Roman"/>
          <w:sz w:val="24"/>
          <w:szCs w:val="24"/>
          <w:lang w:val="en-GB"/>
        </w:rPr>
        <w:t xml:space="preserve"> policy and put in place </w:t>
      </w:r>
      <w:r w:rsidR="0091010D">
        <w:rPr>
          <w:rFonts w:ascii="Times New Roman" w:eastAsia="Calibri" w:hAnsi="Times New Roman" w:cs="Times New Roman"/>
          <w:sz w:val="24"/>
          <w:szCs w:val="24"/>
          <w:lang w:val="en-GB"/>
        </w:rPr>
        <w:t>a</w:t>
      </w:r>
      <w:r w:rsidR="0091010D" w:rsidRPr="00873B4D">
        <w:rPr>
          <w:rFonts w:ascii="Times New Roman" w:eastAsia="Calibri" w:hAnsi="Times New Roman" w:cs="Times New Roman"/>
          <w:sz w:val="24"/>
          <w:szCs w:val="24"/>
          <w:lang w:val="en-GB"/>
        </w:rPr>
        <w:t xml:space="preserve"> process, we classified it as</w:t>
      </w:r>
      <w:r w:rsidR="0091010D">
        <w:rPr>
          <w:rFonts w:ascii="Times New Roman" w:eastAsia="Calibri" w:hAnsi="Times New Roman" w:cs="Times New Roman"/>
          <w:sz w:val="24"/>
          <w:szCs w:val="24"/>
          <w:lang w:val="en-GB"/>
        </w:rPr>
        <w:t xml:space="preserve"> having a</w:t>
      </w:r>
      <w:r w:rsidR="0091010D" w:rsidRPr="00873B4D">
        <w:rPr>
          <w:rFonts w:ascii="Times New Roman" w:eastAsia="Calibri" w:hAnsi="Times New Roman" w:cs="Times New Roman"/>
          <w:sz w:val="24"/>
          <w:szCs w:val="24"/>
          <w:lang w:val="en-GB"/>
        </w:rPr>
        <w:t xml:space="preserve"> “second level”</w:t>
      </w:r>
      <w:r w:rsidR="000F768E">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When </w:t>
      </w:r>
      <w:r w:rsidR="0091010D">
        <w:rPr>
          <w:rFonts w:ascii="Times New Roman" w:eastAsia="Calibri" w:hAnsi="Times New Roman" w:cs="Times New Roman"/>
          <w:sz w:val="24"/>
          <w:szCs w:val="24"/>
          <w:lang w:val="en-GB"/>
        </w:rPr>
        <w:t>a</w:t>
      </w:r>
      <w:r w:rsidR="0091010D" w:rsidRPr="00873B4D">
        <w:rPr>
          <w:rFonts w:ascii="Times New Roman" w:eastAsia="Calibri" w:hAnsi="Times New Roman" w:cs="Times New Roman"/>
          <w:sz w:val="24"/>
          <w:szCs w:val="24"/>
          <w:lang w:val="en-GB"/>
        </w:rPr>
        <w:t xml:space="preserve"> firm ha</w:t>
      </w:r>
      <w:r w:rsidR="0091010D">
        <w:rPr>
          <w:rFonts w:ascii="Times New Roman" w:eastAsia="Calibri" w:hAnsi="Times New Roman" w:cs="Times New Roman"/>
          <w:sz w:val="24"/>
          <w:szCs w:val="24"/>
          <w:lang w:val="en-GB"/>
        </w:rPr>
        <w:t>d</w:t>
      </w:r>
      <w:r w:rsidR="0091010D" w:rsidRPr="00873B4D">
        <w:rPr>
          <w:rFonts w:ascii="Times New Roman" w:eastAsia="Calibri" w:hAnsi="Times New Roman" w:cs="Times New Roman"/>
          <w:sz w:val="24"/>
          <w:szCs w:val="24"/>
          <w:lang w:val="en-GB"/>
        </w:rPr>
        <w:t xml:space="preserve"> established </w:t>
      </w:r>
      <w:r w:rsidR="0091010D">
        <w:rPr>
          <w:rFonts w:ascii="Times New Roman" w:eastAsia="Calibri" w:hAnsi="Times New Roman" w:cs="Times New Roman"/>
          <w:sz w:val="24"/>
          <w:szCs w:val="24"/>
          <w:lang w:val="en-GB"/>
        </w:rPr>
        <w:t>a</w:t>
      </w:r>
      <w:r w:rsidR="0091010D" w:rsidRPr="00873B4D">
        <w:rPr>
          <w:rFonts w:ascii="Times New Roman" w:eastAsia="Calibri" w:hAnsi="Times New Roman" w:cs="Times New Roman"/>
          <w:sz w:val="24"/>
          <w:szCs w:val="24"/>
          <w:lang w:val="en-GB"/>
        </w:rPr>
        <w:t xml:space="preserve"> polic</w:t>
      </w:r>
      <w:r w:rsidR="0091010D">
        <w:rPr>
          <w:rFonts w:ascii="Times New Roman" w:eastAsia="Calibri" w:hAnsi="Times New Roman" w:cs="Times New Roman"/>
          <w:sz w:val="24"/>
          <w:szCs w:val="24"/>
          <w:lang w:val="en-GB"/>
        </w:rPr>
        <w:t>y, put in place a process</w:t>
      </w:r>
      <w:r w:rsidR="005A70F5">
        <w:rPr>
          <w:rFonts w:ascii="Times New Roman" w:eastAsia="Calibri" w:hAnsi="Times New Roman" w:cs="Times New Roman"/>
          <w:sz w:val="24"/>
          <w:szCs w:val="24"/>
          <w:lang w:val="en-GB"/>
        </w:rPr>
        <w:t>,</w:t>
      </w:r>
      <w:r w:rsidR="0091010D">
        <w:rPr>
          <w:rFonts w:ascii="Times New Roman" w:eastAsia="Calibri" w:hAnsi="Times New Roman" w:cs="Times New Roman"/>
          <w:sz w:val="24"/>
          <w:szCs w:val="24"/>
          <w:lang w:val="en-GB"/>
        </w:rPr>
        <w:t xml:space="preserve"> and </w:t>
      </w:r>
      <w:r w:rsidR="005A70F5">
        <w:rPr>
          <w:rFonts w:ascii="Times New Roman" w:eastAsia="Calibri" w:hAnsi="Times New Roman" w:cs="Times New Roman"/>
          <w:sz w:val="24"/>
          <w:szCs w:val="24"/>
          <w:lang w:val="en-GB"/>
        </w:rPr>
        <w:t xml:space="preserve">in addition </w:t>
      </w:r>
      <w:r w:rsidR="0091010D">
        <w:rPr>
          <w:rFonts w:ascii="Times New Roman" w:eastAsia="Calibri" w:hAnsi="Times New Roman" w:cs="Times New Roman"/>
          <w:sz w:val="24"/>
          <w:szCs w:val="24"/>
          <w:lang w:val="en-GB"/>
        </w:rPr>
        <w:t xml:space="preserve">had </w:t>
      </w:r>
      <w:r w:rsidR="0091010D" w:rsidRPr="00873B4D">
        <w:rPr>
          <w:rFonts w:ascii="Times New Roman" w:eastAsia="Calibri" w:hAnsi="Times New Roman" w:cs="Times New Roman"/>
          <w:sz w:val="24"/>
          <w:szCs w:val="24"/>
          <w:lang w:val="en-GB"/>
        </w:rPr>
        <w:t xml:space="preserve">implemented a monitoring process, we then classified it as </w:t>
      </w:r>
      <w:r w:rsidR="0091010D">
        <w:rPr>
          <w:rFonts w:ascii="Times New Roman" w:eastAsia="Calibri" w:hAnsi="Times New Roman" w:cs="Times New Roman"/>
          <w:sz w:val="24"/>
          <w:szCs w:val="24"/>
          <w:lang w:val="en-GB"/>
        </w:rPr>
        <w:t xml:space="preserve">having a </w:t>
      </w:r>
      <w:r w:rsidR="0091010D" w:rsidRPr="00873B4D">
        <w:rPr>
          <w:rFonts w:ascii="Times New Roman" w:eastAsia="Calibri" w:hAnsi="Times New Roman" w:cs="Times New Roman"/>
          <w:sz w:val="24"/>
          <w:szCs w:val="24"/>
          <w:lang w:val="en-GB"/>
        </w:rPr>
        <w:t>“third level”</w:t>
      </w:r>
      <w:r w:rsidR="000F768E">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Lastly, if </w:t>
      </w:r>
      <w:r w:rsidR="0091010D">
        <w:rPr>
          <w:rFonts w:ascii="Times New Roman" w:eastAsia="Calibri" w:hAnsi="Times New Roman" w:cs="Times New Roman"/>
          <w:sz w:val="24"/>
          <w:szCs w:val="24"/>
          <w:lang w:val="en-GB"/>
        </w:rPr>
        <w:t>a</w:t>
      </w:r>
      <w:r w:rsidR="0091010D" w:rsidRPr="00873B4D">
        <w:rPr>
          <w:rFonts w:ascii="Times New Roman" w:eastAsia="Calibri" w:hAnsi="Times New Roman" w:cs="Times New Roman"/>
          <w:sz w:val="24"/>
          <w:szCs w:val="24"/>
          <w:lang w:val="en-GB"/>
        </w:rPr>
        <w:t xml:space="preserve"> firm </w:t>
      </w:r>
      <w:r w:rsidR="005A70F5">
        <w:rPr>
          <w:rFonts w:ascii="Times New Roman" w:eastAsia="Calibri" w:hAnsi="Times New Roman" w:cs="Times New Roman"/>
          <w:sz w:val="24"/>
          <w:szCs w:val="24"/>
          <w:lang w:val="en-GB"/>
        </w:rPr>
        <w:t>did</w:t>
      </w:r>
      <w:r w:rsidR="005A70F5" w:rsidRPr="00873B4D">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 xml:space="preserve">not </w:t>
      </w:r>
      <w:r w:rsidR="005A70F5" w:rsidRPr="00873B4D">
        <w:rPr>
          <w:rFonts w:ascii="Times New Roman" w:eastAsia="Calibri" w:hAnsi="Times New Roman" w:cs="Times New Roman"/>
          <w:sz w:val="24"/>
          <w:szCs w:val="24"/>
          <w:lang w:val="en-GB"/>
        </w:rPr>
        <w:t>establis</w:t>
      </w:r>
      <w:r w:rsidR="005A70F5">
        <w:rPr>
          <w:rFonts w:ascii="Times New Roman" w:eastAsia="Calibri" w:hAnsi="Times New Roman" w:cs="Times New Roman"/>
          <w:sz w:val="24"/>
          <w:szCs w:val="24"/>
          <w:lang w:val="en-GB"/>
        </w:rPr>
        <w:t>h</w:t>
      </w:r>
      <w:r w:rsidR="005A70F5" w:rsidRPr="00873B4D">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a policy in the</w:t>
      </w:r>
      <w:r w:rsidR="0091010D" w:rsidRPr="00873B4D">
        <w:rPr>
          <w:rFonts w:ascii="Times New Roman" w:eastAsia="Calibri" w:hAnsi="Times New Roman" w:cs="Times New Roman"/>
          <w:sz w:val="24"/>
          <w:szCs w:val="24"/>
          <w:lang w:val="en-GB"/>
        </w:rPr>
        <w:t xml:space="preserve"> area, we classified it as </w:t>
      </w:r>
      <w:r w:rsidR="0091010D">
        <w:rPr>
          <w:rFonts w:ascii="Times New Roman" w:eastAsia="Calibri" w:hAnsi="Times New Roman" w:cs="Times New Roman"/>
          <w:sz w:val="24"/>
          <w:szCs w:val="24"/>
          <w:lang w:val="en-GB"/>
        </w:rPr>
        <w:t xml:space="preserve">having a </w:t>
      </w:r>
      <w:r w:rsidR="0091010D" w:rsidRPr="00873B4D">
        <w:rPr>
          <w:rFonts w:ascii="Times New Roman" w:eastAsia="Calibri" w:hAnsi="Times New Roman" w:cs="Times New Roman"/>
          <w:sz w:val="24"/>
          <w:szCs w:val="24"/>
          <w:lang w:val="en-GB"/>
        </w:rPr>
        <w:t>“zero</w:t>
      </w:r>
      <w:r w:rsidR="0091010D">
        <w:rPr>
          <w:rFonts w:ascii="Times New Roman" w:eastAsia="Calibri" w:hAnsi="Times New Roman" w:cs="Times New Roman"/>
          <w:sz w:val="24"/>
          <w:szCs w:val="24"/>
          <w:lang w:val="en-GB"/>
        </w:rPr>
        <w:t xml:space="preserve"> level</w:t>
      </w:r>
      <w:r w:rsidR="0091010D" w:rsidRPr="00873B4D">
        <w:rPr>
          <w:rFonts w:ascii="Times New Roman" w:eastAsia="Calibri" w:hAnsi="Times New Roman" w:cs="Times New Roman"/>
          <w:sz w:val="24"/>
          <w:szCs w:val="24"/>
          <w:lang w:val="en-GB"/>
        </w:rPr>
        <w:t>”</w:t>
      </w:r>
      <w:r w:rsidR="000F768E">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 xml:space="preserve">We, therefore, </w:t>
      </w:r>
      <w:r w:rsidR="0091010D" w:rsidRPr="00873B4D">
        <w:rPr>
          <w:rFonts w:ascii="Times New Roman" w:eastAsia="Calibri" w:hAnsi="Times New Roman" w:cs="Times New Roman"/>
          <w:sz w:val="24"/>
          <w:szCs w:val="24"/>
          <w:lang w:val="en-GB"/>
        </w:rPr>
        <w:t>buil</w:t>
      </w:r>
      <w:r w:rsidR="0091010D">
        <w:rPr>
          <w:rFonts w:ascii="Times New Roman" w:eastAsia="Calibri" w:hAnsi="Times New Roman" w:cs="Times New Roman"/>
          <w:sz w:val="24"/>
          <w:szCs w:val="24"/>
          <w:lang w:val="en-GB"/>
        </w:rPr>
        <w:t>t</w:t>
      </w:r>
      <w:r w:rsidR="0091010D" w:rsidRPr="00873B4D">
        <w:rPr>
          <w:rFonts w:ascii="Times New Roman" w:eastAsia="Calibri" w:hAnsi="Times New Roman" w:cs="Times New Roman"/>
          <w:sz w:val="24"/>
          <w:szCs w:val="24"/>
          <w:lang w:val="en-GB"/>
        </w:rPr>
        <w:t xml:space="preserve"> </w:t>
      </w:r>
      <w:r w:rsidR="00B62FC8">
        <w:rPr>
          <w:rFonts w:ascii="Times New Roman" w:eastAsia="Calibri" w:hAnsi="Times New Roman" w:cs="Times New Roman"/>
          <w:sz w:val="24"/>
          <w:szCs w:val="24"/>
          <w:lang w:val="en-GB"/>
        </w:rPr>
        <w:t>four</w:t>
      </w:r>
      <w:r w:rsidR="0091010D" w:rsidRPr="00873B4D">
        <w:rPr>
          <w:rFonts w:ascii="Times New Roman" w:eastAsia="Calibri" w:hAnsi="Times New Roman" w:cs="Times New Roman"/>
          <w:sz w:val="24"/>
          <w:szCs w:val="24"/>
          <w:lang w:val="en-GB"/>
        </w:rPr>
        <w:t xml:space="preserve"> variables</w:t>
      </w:r>
      <w:r w:rsidR="00B62FC8">
        <w:rPr>
          <w:rFonts w:ascii="Times New Roman" w:eastAsia="Calibri" w:hAnsi="Times New Roman" w:cs="Times New Roman"/>
          <w:sz w:val="24"/>
          <w:szCs w:val="24"/>
          <w:lang w:val="en-GB"/>
        </w:rPr>
        <w:t xml:space="preserve"> (</w:t>
      </w:r>
      <w:r w:rsidR="007514CD">
        <w:rPr>
          <w:rFonts w:ascii="Times New Roman" w:eastAsia="Calibri" w:hAnsi="Times New Roman" w:cs="Times New Roman"/>
          <w:sz w:val="24"/>
          <w:szCs w:val="24"/>
          <w:lang w:val="en-GB"/>
        </w:rPr>
        <w:t xml:space="preserve">one for each </w:t>
      </w:r>
      <w:proofErr w:type="spellStart"/>
      <w:r w:rsidR="00B62FC8">
        <w:rPr>
          <w:rFonts w:ascii="Times New Roman" w:eastAsia="Calibri" w:hAnsi="Times New Roman" w:cs="Times New Roman"/>
          <w:sz w:val="24"/>
          <w:szCs w:val="24"/>
          <w:lang w:val="en-GB"/>
        </w:rPr>
        <w:t>analy</w:t>
      </w:r>
      <w:r w:rsidR="00100741">
        <w:rPr>
          <w:rFonts w:ascii="Times New Roman" w:eastAsia="Calibri" w:hAnsi="Times New Roman" w:cs="Times New Roman"/>
          <w:sz w:val="24"/>
          <w:szCs w:val="24"/>
          <w:lang w:val="en-GB"/>
        </w:rPr>
        <w:t>z</w:t>
      </w:r>
      <w:r w:rsidR="00B62FC8">
        <w:rPr>
          <w:rFonts w:ascii="Times New Roman" w:eastAsia="Calibri" w:hAnsi="Times New Roman" w:cs="Times New Roman"/>
          <w:sz w:val="24"/>
          <w:szCs w:val="24"/>
          <w:lang w:val="en-GB"/>
        </w:rPr>
        <w:t>ed</w:t>
      </w:r>
      <w:proofErr w:type="spellEnd"/>
      <w:r w:rsidR="00B62FC8">
        <w:rPr>
          <w:rFonts w:ascii="Times New Roman" w:eastAsia="Calibri" w:hAnsi="Times New Roman" w:cs="Times New Roman"/>
          <w:sz w:val="24"/>
          <w:szCs w:val="24"/>
          <w:lang w:val="en-GB"/>
        </w:rPr>
        <w:t xml:space="preserve"> </w:t>
      </w:r>
      <w:r w:rsidR="007514CD">
        <w:rPr>
          <w:rFonts w:ascii="Times New Roman" w:eastAsia="Calibri" w:hAnsi="Times New Roman" w:cs="Times New Roman"/>
          <w:sz w:val="24"/>
          <w:szCs w:val="24"/>
          <w:lang w:val="en-GB"/>
        </w:rPr>
        <w:t>sustainability area</w:t>
      </w:r>
      <w:r w:rsidR="00B62FC8">
        <w:rPr>
          <w:rFonts w:ascii="Times New Roman" w:eastAsia="Calibri" w:hAnsi="Times New Roman" w:cs="Times New Roman"/>
          <w:sz w:val="24"/>
          <w:szCs w:val="24"/>
          <w:lang w:val="en-GB"/>
        </w:rPr>
        <w:t>)</w:t>
      </w:r>
      <w:r w:rsidR="007514CD">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that</w:t>
      </w:r>
      <w:r w:rsidR="0091010D">
        <w:rPr>
          <w:rFonts w:ascii="Times New Roman" w:eastAsia="Calibri" w:hAnsi="Times New Roman" w:cs="Times New Roman"/>
          <w:sz w:val="24"/>
          <w:szCs w:val="24"/>
          <w:lang w:val="en-GB"/>
        </w:rPr>
        <w:t xml:space="preserve"> annually capture the level reached for each firm</w:t>
      </w:r>
      <w:r w:rsidR="00B62FC8">
        <w:rPr>
          <w:rFonts w:ascii="Times New Roman" w:eastAsia="Calibri" w:hAnsi="Times New Roman" w:cs="Times New Roman"/>
          <w:sz w:val="24"/>
          <w:szCs w:val="24"/>
          <w:lang w:val="en-GB"/>
        </w:rPr>
        <w:t xml:space="preserve"> and </w:t>
      </w:r>
      <w:r w:rsidR="005A70F5">
        <w:rPr>
          <w:rFonts w:ascii="Times New Roman" w:eastAsia="Calibri" w:hAnsi="Times New Roman" w:cs="Times New Roman"/>
          <w:sz w:val="24"/>
          <w:szCs w:val="24"/>
          <w:lang w:val="en-GB"/>
        </w:rPr>
        <w:t xml:space="preserve">we </w:t>
      </w:r>
      <w:r w:rsidR="00B62FC8">
        <w:rPr>
          <w:rFonts w:ascii="Times New Roman" w:eastAsia="Calibri" w:hAnsi="Times New Roman" w:cs="Times New Roman"/>
          <w:sz w:val="24"/>
          <w:szCs w:val="24"/>
          <w:lang w:val="en-GB"/>
        </w:rPr>
        <w:t>then used them to compute</w:t>
      </w:r>
      <w:r w:rsidR="0091010D">
        <w:rPr>
          <w:rFonts w:ascii="Times New Roman" w:eastAsia="Calibri" w:hAnsi="Times New Roman" w:cs="Times New Roman"/>
          <w:sz w:val="24"/>
          <w:szCs w:val="24"/>
          <w:lang w:val="en-GB"/>
        </w:rPr>
        <w:t xml:space="preserve"> the </w:t>
      </w:r>
      <w:r w:rsidR="00B62FC8">
        <w:rPr>
          <w:rFonts w:ascii="Times New Roman" w:eastAsia="Calibri" w:hAnsi="Times New Roman" w:cs="Times New Roman"/>
          <w:sz w:val="24"/>
          <w:szCs w:val="24"/>
          <w:lang w:val="en-GB"/>
        </w:rPr>
        <w:t xml:space="preserve">sustainability </w:t>
      </w:r>
      <w:r w:rsidR="0091010D">
        <w:rPr>
          <w:rFonts w:ascii="Times New Roman" w:eastAsia="Calibri" w:hAnsi="Times New Roman" w:cs="Times New Roman"/>
          <w:sz w:val="24"/>
          <w:szCs w:val="24"/>
          <w:lang w:val="en-GB"/>
        </w:rPr>
        <w:t>asymmetries</w:t>
      </w:r>
      <w:r w:rsidR="00B62FC8">
        <w:rPr>
          <w:rFonts w:ascii="Times New Roman" w:eastAsia="Calibri" w:hAnsi="Times New Roman" w:cs="Times New Roman"/>
          <w:sz w:val="24"/>
          <w:szCs w:val="24"/>
          <w:lang w:val="en-GB"/>
        </w:rPr>
        <w:t xml:space="preserve"> at dyad level</w:t>
      </w:r>
      <w:r w:rsidR="0091010D" w:rsidRPr="00873B4D">
        <w:rPr>
          <w:rFonts w:ascii="Times New Roman" w:eastAsia="Calibri" w:hAnsi="Times New Roman" w:cs="Times New Roman"/>
          <w:sz w:val="24"/>
          <w:szCs w:val="24"/>
          <w:lang w:val="en-GB"/>
        </w:rPr>
        <w:t>.</w:t>
      </w:r>
    </w:p>
    <w:p w14:paraId="5E388AB5" w14:textId="3F374342" w:rsidR="0091010D" w:rsidRDefault="0091010D" w:rsidP="0091010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In this study, we computed the sustainability asymmetries using two different techniques: absolute values and the spline. We first operationali</w:t>
      </w:r>
      <w:r w:rsidR="00100741">
        <w:rPr>
          <w:rFonts w:ascii="Times New Roman" w:eastAsia="Calibri" w:hAnsi="Times New Roman" w:cs="Times New Roman"/>
          <w:sz w:val="24"/>
          <w:szCs w:val="24"/>
          <w:lang w:val="en-GB"/>
        </w:rPr>
        <w:t>z</w:t>
      </w:r>
      <w:r>
        <w:rPr>
          <w:rFonts w:ascii="Times New Roman" w:eastAsia="Calibri" w:hAnsi="Times New Roman" w:cs="Times New Roman"/>
          <w:sz w:val="24"/>
          <w:szCs w:val="24"/>
          <w:lang w:val="en-GB"/>
        </w:rPr>
        <w:t xml:space="preserve">ed asymmetries following the traditional technique of taking the absolute value of the difference between </w:t>
      </w:r>
      <w:r w:rsidR="00211F1B">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buyer and supplier in the areas of emission reduction, resource reduction, health and safety, and human rights. The asymmetry variables reflect the </w:t>
      </w:r>
      <w:r w:rsidRPr="000C2F9D">
        <w:rPr>
          <w:rFonts w:ascii="Times New Roman" w:eastAsia="Calibri" w:hAnsi="Times New Roman" w:cs="Times New Roman"/>
          <w:i/>
          <w:sz w:val="24"/>
          <w:szCs w:val="24"/>
          <w:lang w:val="en-GB"/>
        </w:rPr>
        <w:t>degree</w:t>
      </w:r>
      <w:r>
        <w:rPr>
          <w:rFonts w:ascii="Times New Roman" w:eastAsia="Calibri" w:hAnsi="Times New Roman" w:cs="Times New Roman"/>
          <w:sz w:val="24"/>
          <w:szCs w:val="24"/>
          <w:lang w:val="en-GB"/>
        </w:rPr>
        <w:t xml:space="preserve"> of a</w:t>
      </w:r>
      <w:r w:rsidR="006635B0">
        <w:rPr>
          <w:rFonts w:ascii="Times New Roman" w:eastAsia="Calibri" w:hAnsi="Times New Roman" w:cs="Times New Roman"/>
          <w:sz w:val="24"/>
          <w:szCs w:val="24"/>
          <w:lang w:val="en-GB"/>
        </w:rPr>
        <w:t>n</w:t>
      </w:r>
      <w:r>
        <w:rPr>
          <w:rFonts w:ascii="Times New Roman" w:eastAsia="Calibri" w:hAnsi="Times New Roman" w:cs="Times New Roman"/>
          <w:sz w:val="24"/>
          <w:szCs w:val="24"/>
          <w:lang w:val="en-GB"/>
        </w:rPr>
        <w:t xml:space="preserve"> </w:t>
      </w:r>
      <w:r w:rsidR="00D553C9">
        <w:rPr>
          <w:rFonts w:ascii="Times New Roman" w:eastAsia="Calibri" w:hAnsi="Times New Roman" w:cs="Times New Roman"/>
          <w:sz w:val="24"/>
          <w:szCs w:val="24"/>
          <w:lang w:val="en-GB"/>
        </w:rPr>
        <w:t>un</w:t>
      </w:r>
      <w:r>
        <w:rPr>
          <w:rFonts w:ascii="Times New Roman" w:eastAsia="Calibri" w:hAnsi="Times New Roman" w:cs="Times New Roman"/>
          <w:sz w:val="24"/>
          <w:szCs w:val="24"/>
          <w:lang w:val="en-GB"/>
        </w:rPr>
        <w:t xml:space="preserve">balanced </w:t>
      </w:r>
      <w:r w:rsidR="00D553C9">
        <w:rPr>
          <w:rFonts w:ascii="Times New Roman" w:eastAsia="Calibri" w:hAnsi="Times New Roman" w:cs="Times New Roman"/>
          <w:sz w:val="24"/>
          <w:szCs w:val="24"/>
          <w:lang w:val="en-GB"/>
        </w:rPr>
        <w:t xml:space="preserve">development </w:t>
      </w:r>
      <w:r>
        <w:rPr>
          <w:rFonts w:ascii="Times New Roman" w:eastAsia="Calibri" w:hAnsi="Times New Roman" w:cs="Times New Roman"/>
          <w:sz w:val="24"/>
          <w:szCs w:val="24"/>
          <w:lang w:val="en-GB"/>
        </w:rPr>
        <w:t>presented in each of these sustainability areas.</w:t>
      </w:r>
    </w:p>
    <w:p w14:paraId="3A2E2FE6" w14:textId="35802C02" w:rsidR="0091010D" w:rsidRDefault="0091010D" w:rsidP="0091010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 addition to the degree of asymmetry, we introduced into the analysis the </w:t>
      </w:r>
      <w:r w:rsidRPr="001313DB">
        <w:rPr>
          <w:rFonts w:ascii="Times New Roman" w:eastAsia="Calibri" w:hAnsi="Times New Roman" w:cs="Times New Roman"/>
          <w:i/>
          <w:sz w:val="24"/>
          <w:szCs w:val="24"/>
          <w:lang w:val="en-GB"/>
        </w:rPr>
        <w:t xml:space="preserve">direction </w:t>
      </w:r>
      <w:r>
        <w:rPr>
          <w:rFonts w:ascii="Times New Roman" w:eastAsia="Calibri" w:hAnsi="Times New Roman" w:cs="Times New Roman"/>
          <w:sz w:val="24"/>
          <w:szCs w:val="24"/>
          <w:lang w:val="en-GB"/>
        </w:rPr>
        <w:t>of the asymmetry (</w:t>
      </w:r>
      <w:r w:rsidR="00211F1B">
        <w:rPr>
          <w:rFonts w:ascii="Times New Roman" w:eastAsia="Calibri" w:hAnsi="Times New Roman" w:cs="Times New Roman"/>
          <w:sz w:val="24"/>
          <w:szCs w:val="24"/>
          <w:lang w:val="en-GB"/>
        </w:rPr>
        <w:t>i.e., whether</w:t>
      </w:r>
      <w:r>
        <w:rPr>
          <w:rFonts w:ascii="Times New Roman" w:eastAsia="Calibri" w:hAnsi="Times New Roman" w:cs="Times New Roman"/>
          <w:sz w:val="24"/>
          <w:szCs w:val="24"/>
          <w:lang w:val="en-GB"/>
        </w:rPr>
        <w:t xml:space="preserve"> it is the buyer leading or the supplier leading), by using the spline method. In line with previous asymmetries and supply chain studies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Nyaga</w:t>
      </w:r>
      <w:proofErr w:type="spellEnd"/>
      <w:r w:rsidR="00F3370E" w:rsidRPr="007A6E4B">
        <w:rPr>
          <w:rFonts w:ascii="Times New Roman" w:hAnsi="Times New Roman" w:cs="Times New Roman"/>
          <w:sz w:val="24"/>
          <w:lang w:val="en-US"/>
        </w:rPr>
        <w:t xml:space="preserve"> et al., 2013; </w:t>
      </w:r>
      <w:proofErr w:type="spellStart"/>
      <w:r w:rsidR="00F3370E" w:rsidRPr="007A6E4B">
        <w:rPr>
          <w:rFonts w:ascii="Times New Roman" w:hAnsi="Times New Roman" w:cs="Times New Roman"/>
          <w:sz w:val="24"/>
          <w:lang w:val="en-US"/>
        </w:rPr>
        <w:t>Villena</w:t>
      </w:r>
      <w:proofErr w:type="spellEnd"/>
      <w:r w:rsidR="00F3370E" w:rsidRPr="007A6E4B">
        <w:rPr>
          <w:rFonts w:ascii="Times New Roman" w:hAnsi="Times New Roman" w:cs="Times New Roman"/>
          <w:sz w:val="24"/>
          <w:lang w:val="en-US"/>
        </w:rPr>
        <w:t xml:space="preserve"> and Craighead, 2017)</w:t>
      </w:r>
      <w:r>
        <w:rPr>
          <w:rFonts w:ascii="Times New Roman" w:hAnsi="Times New Roman" w:cs="Times New Roman"/>
          <w:sz w:val="24"/>
          <w:lang w:val="en-GB"/>
        </w:rPr>
        <w:t xml:space="preserve">, we computed for each of the sustainability areas the </w:t>
      </w:r>
      <w:r>
        <w:rPr>
          <w:rFonts w:ascii="Times New Roman" w:hAnsi="Times New Roman" w:cs="Times New Roman"/>
          <w:sz w:val="24"/>
          <w:lang w:val="en-GB"/>
        </w:rPr>
        <w:lastRenderedPageBreak/>
        <w:t>corresponding de-composed variables of the asymmetry. By a</w:t>
      </w:r>
      <w:r w:rsidRPr="00873B4D">
        <w:rPr>
          <w:rFonts w:ascii="Times New Roman" w:eastAsia="Calibri" w:hAnsi="Times New Roman" w:cs="Times New Roman"/>
          <w:sz w:val="24"/>
          <w:szCs w:val="24"/>
          <w:lang w:val="en-GB"/>
        </w:rPr>
        <w:t>dding direction</w:t>
      </w:r>
      <w:r>
        <w:rPr>
          <w:rFonts w:ascii="Times New Roman" w:eastAsia="Calibri" w:hAnsi="Times New Roman" w:cs="Times New Roman"/>
          <w:sz w:val="24"/>
          <w:szCs w:val="24"/>
          <w:lang w:val="en-GB"/>
        </w:rPr>
        <w:t xml:space="preserve"> into the analysis, we were able to tease out possible compound effects and obtain better insights regarding </w:t>
      </w:r>
      <w:r w:rsidRPr="00873B4D">
        <w:rPr>
          <w:rFonts w:ascii="Times New Roman" w:eastAsia="Calibri" w:hAnsi="Times New Roman" w:cs="Times New Roman"/>
          <w:sz w:val="24"/>
          <w:szCs w:val="24"/>
          <w:lang w:val="en-GB"/>
        </w:rPr>
        <w:t xml:space="preserve">the </w:t>
      </w:r>
      <w:r w:rsidR="004F00F9">
        <w:rPr>
          <w:rFonts w:ascii="Times New Roman" w:eastAsia="Calibri" w:hAnsi="Times New Roman" w:cs="Times New Roman"/>
          <w:sz w:val="24"/>
          <w:szCs w:val="24"/>
          <w:lang w:val="en-GB"/>
        </w:rPr>
        <w:t xml:space="preserve">financial and market impacts </w:t>
      </w:r>
      <w:r w:rsidRPr="00873B4D">
        <w:rPr>
          <w:rFonts w:ascii="Times New Roman" w:eastAsia="Calibri" w:hAnsi="Times New Roman" w:cs="Times New Roman"/>
          <w:sz w:val="24"/>
          <w:szCs w:val="24"/>
          <w:lang w:val="en-GB"/>
        </w:rPr>
        <w:t xml:space="preserve">of the buyer’s </w:t>
      </w:r>
      <w:r>
        <w:rPr>
          <w:rFonts w:ascii="Times New Roman" w:eastAsia="Calibri" w:hAnsi="Times New Roman" w:cs="Times New Roman"/>
          <w:sz w:val="24"/>
          <w:szCs w:val="24"/>
          <w:lang w:val="en-GB"/>
        </w:rPr>
        <w:t>sustainability approach</w:t>
      </w:r>
      <w:r w:rsidRPr="00873B4D">
        <w:rPr>
          <w:rFonts w:ascii="Times New Roman" w:eastAsia="Calibri" w:hAnsi="Times New Roman" w:cs="Times New Roman"/>
          <w:sz w:val="24"/>
          <w:szCs w:val="24"/>
          <w:lang w:val="en-GB"/>
        </w:rPr>
        <w:t xml:space="preserve"> (</w:t>
      </w:r>
      <w:r w:rsidR="00211F1B">
        <w:rPr>
          <w:rFonts w:ascii="Times New Roman" w:eastAsia="Calibri" w:hAnsi="Times New Roman" w:cs="Times New Roman"/>
          <w:sz w:val="24"/>
          <w:szCs w:val="24"/>
          <w:lang w:val="en-GB"/>
        </w:rPr>
        <w:t>i.e.,</w:t>
      </w:r>
      <w:r w:rsidRPr="00873B4D">
        <w:rPr>
          <w:rFonts w:ascii="Times New Roman" w:eastAsia="Calibri" w:hAnsi="Times New Roman" w:cs="Times New Roman"/>
          <w:sz w:val="24"/>
          <w:szCs w:val="24"/>
          <w:lang w:val="en-GB"/>
        </w:rPr>
        <w:t xml:space="preserve"> greening versus leading sustainability).</w:t>
      </w:r>
      <w:r>
        <w:rPr>
          <w:rFonts w:ascii="Times New Roman" w:eastAsia="Calibri" w:hAnsi="Times New Roman" w:cs="Times New Roman"/>
          <w:sz w:val="24"/>
          <w:szCs w:val="24"/>
          <w:lang w:val="en-GB"/>
        </w:rPr>
        <w:t xml:space="preserve"> We </w:t>
      </w:r>
      <w:r w:rsidRPr="00873B4D">
        <w:rPr>
          <w:rFonts w:ascii="Times New Roman" w:eastAsia="Calibri" w:hAnsi="Times New Roman" w:cs="Times New Roman"/>
          <w:sz w:val="24"/>
          <w:szCs w:val="24"/>
          <w:lang w:val="en-GB"/>
        </w:rPr>
        <w:t>perform</w:t>
      </w:r>
      <w:r>
        <w:rPr>
          <w:rFonts w:ascii="Times New Roman" w:eastAsia="Calibri" w:hAnsi="Times New Roman" w:cs="Times New Roman"/>
          <w:sz w:val="24"/>
          <w:szCs w:val="24"/>
          <w:lang w:val="en-GB"/>
        </w:rPr>
        <w:t>ed</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this</w:t>
      </w:r>
      <w:r w:rsidRPr="00873B4D">
        <w:rPr>
          <w:rFonts w:ascii="Times New Roman" w:eastAsia="Calibri" w:hAnsi="Times New Roman" w:cs="Times New Roman"/>
          <w:sz w:val="24"/>
          <w:szCs w:val="24"/>
          <w:lang w:val="en-GB"/>
        </w:rPr>
        <w:t xml:space="preserve"> assessment </w:t>
      </w:r>
      <w:r>
        <w:rPr>
          <w:rFonts w:ascii="Times New Roman" w:eastAsia="Calibri" w:hAnsi="Times New Roman" w:cs="Times New Roman"/>
          <w:sz w:val="24"/>
          <w:szCs w:val="24"/>
          <w:lang w:val="en-GB"/>
        </w:rPr>
        <w:t>of the</w:t>
      </w:r>
      <w:r w:rsidRPr="00873B4D">
        <w:rPr>
          <w:rFonts w:ascii="Times New Roman" w:eastAsia="Calibri" w:hAnsi="Times New Roman" w:cs="Times New Roman"/>
          <w:sz w:val="24"/>
          <w:szCs w:val="24"/>
          <w:lang w:val="en-GB"/>
        </w:rPr>
        <w:t xml:space="preserve"> diametrically opposite effects</w:t>
      </w:r>
      <w:r>
        <w:rPr>
          <w:rFonts w:ascii="Times New Roman" w:eastAsia="Calibri" w:hAnsi="Times New Roman" w:cs="Times New Roman"/>
          <w:sz w:val="24"/>
          <w:szCs w:val="24"/>
          <w:lang w:val="en-GB"/>
        </w:rPr>
        <w:t xml:space="preserve">, which according to Kumar et al. </w:t>
      </w:r>
      <w:r w:rsidR="00F3370E" w:rsidRPr="007A6E4B">
        <w:rPr>
          <w:rFonts w:ascii="Times New Roman" w:hAnsi="Times New Roman" w:cs="Times New Roman"/>
          <w:sz w:val="24"/>
          <w:lang w:val="en-US"/>
        </w:rPr>
        <w:t>(1998)</w:t>
      </w:r>
      <w:r>
        <w:rPr>
          <w:rFonts w:ascii="Times New Roman" w:hAnsi="Times New Roman" w:cs="Times New Roman"/>
          <w:sz w:val="24"/>
          <w:lang w:val="en-GB"/>
        </w:rPr>
        <w:t xml:space="preserve"> </w:t>
      </w:r>
      <w:r w:rsidR="007372A7">
        <w:rPr>
          <w:rFonts w:ascii="Times New Roman" w:hAnsi="Times New Roman" w:cs="Times New Roman"/>
          <w:sz w:val="24"/>
          <w:lang w:val="en-GB"/>
        </w:rPr>
        <w:t>increases</w:t>
      </w:r>
      <w:r w:rsidRPr="00873B4D">
        <w:rPr>
          <w:rFonts w:ascii="Times New Roman" w:eastAsia="Calibri" w:hAnsi="Times New Roman" w:cs="Times New Roman"/>
          <w:sz w:val="24"/>
          <w:szCs w:val="24"/>
          <w:lang w:val="en-GB"/>
        </w:rPr>
        <w:t xml:space="preserve"> the precision of the estimation.</w:t>
      </w:r>
      <w:r w:rsidRPr="003E1EC1">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 xml:space="preserve">This means </w:t>
      </w:r>
      <w:r>
        <w:rPr>
          <w:rFonts w:ascii="Times New Roman" w:eastAsia="Calibri" w:hAnsi="Times New Roman" w:cs="Times New Roman"/>
          <w:sz w:val="24"/>
          <w:szCs w:val="24"/>
          <w:lang w:val="en-GB"/>
        </w:rPr>
        <w:t xml:space="preserve">that </w:t>
      </w:r>
      <w:r w:rsidRPr="00873B4D">
        <w:rPr>
          <w:rFonts w:ascii="Times New Roman" w:eastAsia="Calibri" w:hAnsi="Times New Roman" w:cs="Times New Roman"/>
          <w:sz w:val="24"/>
          <w:szCs w:val="24"/>
          <w:lang w:val="en-GB"/>
        </w:rPr>
        <w:t xml:space="preserve">we first estimated the differences between </w:t>
      </w:r>
      <w:r w:rsidR="001A0510">
        <w:rPr>
          <w:rFonts w:ascii="Times New Roman" w:eastAsia="Calibri" w:hAnsi="Times New Roman" w:cs="Times New Roman"/>
          <w:sz w:val="24"/>
          <w:szCs w:val="24"/>
          <w:lang w:val="en-GB"/>
        </w:rPr>
        <w:t xml:space="preserve">the </w:t>
      </w:r>
      <w:r w:rsidRPr="00873B4D">
        <w:rPr>
          <w:rFonts w:ascii="Times New Roman" w:eastAsia="Calibri" w:hAnsi="Times New Roman" w:cs="Times New Roman"/>
          <w:sz w:val="24"/>
          <w:szCs w:val="24"/>
          <w:lang w:val="en-GB"/>
        </w:rPr>
        <w:t>buyer and its top supplier values in each sustainability area and then calculated the corresponding de</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composed variables</w:t>
      </w:r>
      <w:r>
        <w:rPr>
          <w:rFonts w:ascii="Times New Roman" w:eastAsia="Calibri" w:hAnsi="Times New Roman" w:cs="Times New Roman"/>
          <w:sz w:val="24"/>
          <w:szCs w:val="24"/>
          <w:lang w:val="en-GB"/>
        </w:rPr>
        <w:t xml:space="preserve"> </w:t>
      </w:r>
      <w:r w:rsidR="007372A7">
        <w:rPr>
          <w:rFonts w:ascii="Times New Roman" w:eastAsia="Calibri" w:hAnsi="Times New Roman" w:cs="Times New Roman"/>
          <w:sz w:val="24"/>
          <w:szCs w:val="24"/>
          <w:lang w:val="en-GB"/>
        </w:rPr>
        <w:t>for</w:t>
      </w:r>
      <w:r>
        <w:rPr>
          <w:rFonts w:ascii="Times New Roman" w:eastAsia="Calibri" w:hAnsi="Times New Roman" w:cs="Times New Roman"/>
          <w:sz w:val="24"/>
          <w:szCs w:val="24"/>
          <w:lang w:val="en-GB"/>
        </w:rPr>
        <w:t xml:space="preserve"> each sustainability area</w:t>
      </w:r>
      <w:r w:rsidRPr="00873B4D">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Using the area of emission reduction to illustrate both applied techniques</w:t>
      </w:r>
      <w:r w:rsidR="00324299">
        <w:rPr>
          <w:rFonts w:ascii="Times New Roman" w:eastAsia="Calibri" w:hAnsi="Times New Roman" w:cs="Times New Roman"/>
          <w:sz w:val="24"/>
          <w:szCs w:val="24"/>
          <w:lang w:val="en-GB"/>
        </w:rPr>
        <w:t>: firstly,</w:t>
      </w:r>
      <w:r>
        <w:rPr>
          <w:rFonts w:ascii="Times New Roman" w:eastAsia="Calibri" w:hAnsi="Times New Roman" w:cs="Times New Roman"/>
          <w:sz w:val="24"/>
          <w:szCs w:val="24"/>
          <w:lang w:val="en-GB"/>
        </w:rPr>
        <w:t xml:space="preserve"> we included in the analysis a single variable </w:t>
      </w:r>
      <w:r w:rsidR="00E73B17">
        <w:rPr>
          <w:rFonts w:ascii="Times New Roman" w:eastAsia="Calibri" w:hAnsi="Times New Roman" w:cs="Times New Roman"/>
          <w:sz w:val="24"/>
          <w:szCs w:val="24"/>
          <w:lang w:val="en-GB"/>
        </w:rPr>
        <w:t>labelled</w:t>
      </w:r>
      <w:r w:rsidR="001A0510">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“Emission reduction asymmetry (degree)” when we employed the absolute value technique</w:t>
      </w:r>
      <w:r w:rsidR="00324299">
        <w:rPr>
          <w:rFonts w:ascii="Times New Roman" w:eastAsia="Calibri" w:hAnsi="Times New Roman" w:cs="Times New Roman"/>
          <w:sz w:val="24"/>
          <w:szCs w:val="24"/>
          <w:lang w:val="en-GB"/>
        </w:rPr>
        <w:t>. Secondly, when we employed the spline technique, we used</w:t>
      </w:r>
      <w:r>
        <w:rPr>
          <w:rFonts w:ascii="Times New Roman" w:eastAsia="Calibri" w:hAnsi="Times New Roman" w:cs="Times New Roman"/>
          <w:sz w:val="24"/>
          <w:szCs w:val="24"/>
          <w:lang w:val="en-GB"/>
        </w:rPr>
        <w:t xml:space="preserve"> two variables instead</w:t>
      </w:r>
      <w:r w:rsidR="00324299">
        <w:rPr>
          <w:rFonts w:ascii="Times New Roman" w:eastAsia="Calibri" w:hAnsi="Times New Roman" w:cs="Times New Roman"/>
          <w:sz w:val="24"/>
          <w:szCs w:val="24"/>
          <w:lang w:val="en-GB"/>
        </w:rPr>
        <w:t xml:space="preserve">, </w:t>
      </w:r>
      <w:r w:rsidR="00EF2521">
        <w:rPr>
          <w:rFonts w:ascii="Times New Roman" w:eastAsia="Calibri" w:hAnsi="Times New Roman" w:cs="Times New Roman"/>
          <w:sz w:val="24"/>
          <w:szCs w:val="24"/>
          <w:lang w:val="en-GB"/>
        </w:rPr>
        <w:t>label</w:t>
      </w:r>
      <w:r w:rsidR="00E73B17">
        <w:rPr>
          <w:rFonts w:ascii="Times New Roman" w:eastAsia="Calibri" w:hAnsi="Times New Roman" w:cs="Times New Roman"/>
          <w:sz w:val="24"/>
          <w:szCs w:val="24"/>
          <w:lang w:val="en-GB"/>
        </w:rPr>
        <w:t>l</w:t>
      </w:r>
      <w:r w:rsidR="00EF2521">
        <w:rPr>
          <w:rFonts w:ascii="Times New Roman" w:eastAsia="Calibri" w:hAnsi="Times New Roman" w:cs="Times New Roman"/>
          <w:sz w:val="24"/>
          <w:szCs w:val="24"/>
          <w:lang w:val="en-GB"/>
        </w:rPr>
        <w:t xml:space="preserve">ed </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Emission reduction–Buyer asymmetry</w:t>
      </w:r>
      <w:r>
        <w:rPr>
          <w:rFonts w:ascii="Times New Roman" w:eastAsia="Calibri" w:hAnsi="Times New Roman" w:cs="Times New Roman"/>
          <w:sz w:val="24"/>
          <w:szCs w:val="24"/>
          <w:lang w:val="en-GB"/>
        </w:rPr>
        <w:t xml:space="preserve"> (degree &amp; direction)</w:t>
      </w:r>
      <w:r w:rsidRPr="00873B4D">
        <w:rPr>
          <w:rFonts w:ascii="Times New Roman" w:eastAsia="Calibri" w:hAnsi="Times New Roman" w:cs="Times New Roman"/>
          <w:sz w:val="24"/>
          <w:szCs w:val="24"/>
          <w:lang w:val="en-GB"/>
        </w:rPr>
        <w:t>” and “Emission reduction–Supplier asymmetry</w:t>
      </w:r>
      <w:r>
        <w:rPr>
          <w:rFonts w:ascii="Times New Roman" w:eastAsia="Calibri" w:hAnsi="Times New Roman" w:cs="Times New Roman"/>
          <w:sz w:val="24"/>
          <w:szCs w:val="24"/>
          <w:lang w:val="en-GB"/>
        </w:rPr>
        <w:t xml:space="preserve"> (degree &amp; direction)</w:t>
      </w:r>
      <w:r w:rsidRPr="00873B4D">
        <w:rPr>
          <w:rFonts w:ascii="Times New Roman" w:eastAsia="Calibri" w:hAnsi="Times New Roman" w:cs="Times New Roman"/>
          <w:sz w:val="24"/>
          <w:szCs w:val="24"/>
          <w:lang w:val="en-GB"/>
        </w:rPr>
        <w:t>”</w:t>
      </w:r>
      <w:r w:rsidR="000F768E">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T</w:t>
      </w:r>
      <w:r w:rsidRPr="00662E2A">
        <w:rPr>
          <w:rFonts w:ascii="Times New Roman" w:eastAsia="Calibri" w:hAnsi="Times New Roman" w:cs="Times New Roman"/>
          <w:sz w:val="24"/>
          <w:szCs w:val="24"/>
          <w:lang w:val="en-GB"/>
        </w:rPr>
        <w:t xml:space="preserve">he variable </w:t>
      </w:r>
      <w:r w:rsidR="00EF2521" w:rsidRPr="00662E2A">
        <w:rPr>
          <w:rFonts w:ascii="Times New Roman" w:eastAsia="Calibri" w:hAnsi="Times New Roman" w:cs="Times New Roman"/>
          <w:sz w:val="24"/>
          <w:szCs w:val="24"/>
          <w:lang w:val="en-GB"/>
        </w:rPr>
        <w:t>labe</w:t>
      </w:r>
      <w:r w:rsidR="00EF2521">
        <w:rPr>
          <w:rFonts w:ascii="Times New Roman" w:eastAsia="Calibri" w:hAnsi="Times New Roman" w:cs="Times New Roman"/>
          <w:sz w:val="24"/>
          <w:szCs w:val="24"/>
          <w:lang w:val="en-GB"/>
        </w:rPr>
        <w:t>l</w:t>
      </w:r>
      <w:r w:rsidR="00E73B17">
        <w:rPr>
          <w:rFonts w:ascii="Times New Roman" w:eastAsia="Calibri" w:hAnsi="Times New Roman" w:cs="Times New Roman"/>
          <w:sz w:val="24"/>
          <w:szCs w:val="24"/>
          <w:lang w:val="en-GB"/>
        </w:rPr>
        <w:t>l</w:t>
      </w:r>
      <w:r w:rsidR="00EF2521" w:rsidRPr="00662E2A">
        <w:rPr>
          <w:rFonts w:ascii="Times New Roman" w:eastAsia="Calibri" w:hAnsi="Times New Roman" w:cs="Times New Roman"/>
          <w:sz w:val="24"/>
          <w:szCs w:val="24"/>
          <w:lang w:val="en-GB"/>
        </w:rPr>
        <w:t xml:space="preserve">ed </w:t>
      </w:r>
      <w:r w:rsidRPr="00662E2A">
        <w:rPr>
          <w:rFonts w:ascii="Times New Roman" w:eastAsia="Calibri" w:hAnsi="Times New Roman" w:cs="Times New Roman"/>
          <w:sz w:val="24"/>
          <w:szCs w:val="24"/>
          <w:lang w:val="en-GB"/>
        </w:rPr>
        <w:t>“Emission reduction–Buyer asymmetry” contained the difference between the buyer and its top supplier when the buyer was leading sustainability in the area of emission reduction</w:t>
      </w:r>
      <w:r>
        <w:rPr>
          <w:rFonts w:ascii="Times New Roman" w:eastAsia="Calibri" w:hAnsi="Times New Roman" w:cs="Times New Roman"/>
          <w:sz w:val="24"/>
          <w:szCs w:val="24"/>
          <w:lang w:val="en-GB"/>
        </w:rPr>
        <w:t>;</w:t>
      </w:r>
      <w:r w:rsidRPr="00662E2A">
        <w:rPr>
          <w:rFonts w:ascii="Times New Roman" w:eastAsia="Calibri" w:hAnsi="Times New Roman" w:cs="Times New Roman"/>
          <w:sz w:val="24"/>
          <w:szCs w:val="24"/>
          <w:lang w:val="en-GB"/>
        </w:rPr>
        <w:t xml:space="preserve"> taking the value zero otherwise. Similarly, the variable </w:t>
      </w:r>
      <w:r w:rsidR="009F0FE8" w:rsidRPr="00662E2A">
        <w:rPr>
          <w:rFonts w:ascii="Times New Roman" w:eastAsia="Calibri" w:hAnsi="Times New Roman" w:cs="Times New Roman"/>
          <w:sz w:val="24"/>
          <w:szCs w:val="24"/>
          <w:lang w:val="en-GB"/>
        </w:rPr>
        <w:t>labe</w:t>
      </w:r>
      <w:r w:rsidR="009F0FE8">
        <w:rPr>
          <w:rFonts w:ascii="Times New Roman" w:eastAsia="Calibri" w:hAnsi="Times New Roman" w:cs="Times New Roman"/>
          <w:sz w:val="24"/>
          <w:szCs w:val="24"/>
          <w:lang w:val="en-GB"/>
        </w:rPr>
        <w:t>l</w:t>
      </w:r>
      <w:r w:rsidR="00E73B17">
        <w:rPr>
          <w:rFonts w:ascii="Times New Roman" w:eastAsia="Calibri" w:hAnsi="Times New Roman" w:cs="Times New Roman"/>
          <w:sz w:val="24"/>
          <w:szCs w:val="24"/>
          <w:lang w:val="en-GB"/>
        </w:rPr>
        <w:t>l</w:t>
      </w:r>
      <w:r w:rsidR="009F0FE8" w:rsidRPr="00662E2A">
        <w:rPr>
          <w:rFonts w:ascii="Times New Roman" w:eastAsia="Calibri" w:hAnsi="Times New Roman" w:cs="Times New Roman"/>
          <w:sz w:val="24"/>
          <w:szCs w:val="24"/>
          <w:lang w:val="en-GB"/>
        </w:rPr>
        <w:t>ed</w:t>
      </w:r>
      <w:r w:rsidR="009F0FE8">
        <w:rPr>
          <w:rFonts w:ascii="Times New Roman" w:eastAsia="Calibri" w:hAnsi="Times New Roman" w:cs="Times New Roman"/>
          <w:sz w:val="24"/>
          <w:szCs w:val="24"/>
          <w:lang w:val="en-GB"/>
        </w:rPr>
        <w:t xml:space="preserve"> </w:t>
      </w:r>
      <w:r w:rsidRPr="00662E2A">
        <w:rPr>
          <w:rFonts w:ascii="Times New Roman" w:eastAsia="Calibri" w:hAnsi="Times New Roman" w:cs="Times New Roman"/>
          <w:sz w:val="24"/>
          <w:szCs w:val="24"/>
          <w:lang w:val="en-GB"/>
        </w:rPr>
        <w:t xml:space="preserve">“Emission reduction–Supplier asymmetry” was equal to the absolute value of the difference between </w:t>
      </w:r>
      <w:r>
        <w:rPr>
          <w:rFonts w:ascii="Times New Roman" w:eastAsia="Calibri" w:hAnsi="Times New Roman" w:cs="Times New Roman"/>
          <w:sz w:val="24"/>
          <w:szCs w:val="24"/>
          <w:lang w:val="en-GB"/>
        </w:rPr>
        <w:t xml:space="preserve">a </w:t>
      </w:r>
      <w:r w:rsidRPr="00662E2A">
        <w:rPr>
          <w:rFonts w:ascii="Times New Roman" w:eastAsia="Calibri" w:hAnsi="Times New Roman" w:cs="Times New Roman"/>
          <w:sz w:val="24"/>
          <w:szCs w:val="24"/>
          <w:lang w:val="en-GB"/>
        </w:rPr>
        <w:t>buyer and its top supplier when the supplier was leading sustainability in this area</w:t>
      </w:r>
      <w:r>
        <w:rPr>
          <w:rFonts w:ascii="Times New Roman" w:eastAsia="Calibri" w:hAnsi="Times New Roman" w:cs="Times New Roman"/>
          <w:sz w:val="24"/>
          <w:szCs w:val="24"/>
          <w:lang w:val="en-GB"/>
        </w:rPr>
        <w:t>;</w:t>
      </w:r>
      <w:r w:rsidRPr="00662E2A">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tak</w:t>
      </w:r>
      <w:r w:rsidRPr="00662E2A">
        <w:rPr>
          <w:rFonts w:ascii="Times New Roman" w:eastAsia="Calibri" w:hAnsi="Times New Roman" w:cs="Times New Roman"/>
          <w:sz w:val="24"/>
          <w:szCs w:val="24"/>
          <w:lang w:val="en-GB"/>
        </w:rPr>
        <w:t>ing the value zero otherwise.</w:t>
      </w:r>
      <w:r>
        <w:rPr>
          <w:rFonts w:ascii="Times New Roman" w:eastAsia="Calibri" w:hAnsi="Times New Roman" w:cs="Times New Roman"/>
          <w:sz w:val="24"/>
          <w:szCs w:val="24"/>
          <w:lang w:val="en-GB"/>
        </w:rPr>
        <w:t xml:space="preserve"> </w:t>
      </w:r>
    </w:p>
    <w:p w14:paraId="18F064D9" w14:textId="5D03016B" w:rsidR="0091010D" w:rsidRPr="00873B4D" w:rsidRDefault="00243E31" w:rsidP="0091010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 order </w:t>
      </w:r>
      <w:r w:rsidRPr="00873B4D">
        <w:rPr>
          <w:rFonts w:ascii="Times New Roman" w:eastAsia="Calibri" w:hAnsi="Times New Roman" w:cs="Times New Roman"/>
          <w:sz w:val="24"/>
          <w:szCs w:val="24"/>
          <w:lang w:val="en-GB"/>
        </w:rPr>
        <w:t>to mitigate having a potential omitted variable bias</w:t>
      </w:r>
      <w:r>
        <w:rPr>
          <w:rFonts w:ascii="Times New Roman" w:eastAsia="Calibri" w:hAnsi="Times New Roman" w:cs="Times New Roman"/>
          <w:sz w:val="24"/>
          <w:szCs w:val="24"/>
          <w:lang w:val="en-GB"/>
        </w:rPr>
        <w:t xml:space="preserve">, we included several </w:t>
      </w:r>
      <w:r w:rsidR="00BD328B">
        <w:rPr>
          <w:rFonts w:ascii="Times New Roman" w:eastAsia="Calibri" w:hAnsi="Times New Roman" w:cs="Times New Roman"/>
          <w:sz w:val="24"/>
          <w:szCs w:val="24"/>
          <w:lang w:val="en-GB"/>
        </w:rPr>
        <w:t>control variables</w:t>
      </w:r>
      <w:r w:rsidR="00186E4A" w:rsidRPr="00873B4D">
        <w:rPr>
          <w:rFonts w:ascii="Times New Roman" w:eastAsia="Calibri" w:hAnsi="Times New Roman" w:cs="Times New Roman"/>
          <w:sz w:val="24"/>
          <w:szCs w:val="24"/>
          <w:lang w:val="en-GB"/>
        </w:rPr>
        <w:t xml:space="preserve"> </w:t>
      </w:r>
      <w:r w:rsidR="00BD328B">
        <w:rPr>
          <w:rFonts w:ascii="Times New Roman" w:eastAsia="Calibri" w:hAnsi="Times New Roman" w:cs="Times New Roman"/>
          <w:sz w:val="24"/>
          <w:szCs w:val="24"/>
          <w:lang w:val="en-GB"/>
        </w:rPr>
        <w:t>at</w:t>
      </w:r>
      <w:r w:rsidR="0091010D" w:rsidRPr="00873B4D">
        <w:rPr>
          <w:rFonts w:ascii="Times New Roman" w:eastAsia="Calibri" w:hAnsi="Times New Roman" w:cs="Times New Roman"/>
          <w:sz w:val="24"/>
          <w:szCs w:val="24"/>
          <w:lang w:val="en-GB"/>
        </w:rPr>
        <w:t xml:space="preserve"> </w:t>
      </w:r>
      <w:r w:rsidR="009F0FE8">
        <w:rPr>
          <w:rFonts w:ascii="Times New Roman" w:eastAsia="Calibri" w:hAnsi="Times New Roman" w:cs="Times New Roman"/>
          <w:sz w:val="24"/>
          <w:szCs w:val="24"/>
          <w:lang w:val="en-GB"/>
        </w:rPr>
        <w:t xml:space="preserve">the </w:t>
      </w:r>
      <w:r w:rsidR="0091010D" w:rsidRPr="00873B4D">
        <w:rPr>
          <w:rFonts w:ascii="Times New Roman" w:eastAsia="Calibri" w:hAnsi="Times New Roman" w:cs="Times New Roman"/>
          <w:sz w:val="24"/>
          <w:szCs w:val="24"/>
          <w:lang w:val="en-GB"/>
        </w:rPr>
        <w:t xml:space="preserve">buyer and relationship level. </w:t>
      </w:r>
      <w:r w:rsidR="0091010D">
        <w:rPr>
          <w:rFonts w:ascii="Times New Roman" w:eastAsia="Calibri" w:hAnsi="Times New Roman" w:cs="Times New Roman"/>
          <w:sz w:val="24"/>
          <w:szCs w:val="24"/>
          <w:lang w:val="en-GB"/>
        </w:rPr>
        <w:t>Following</w:t>
      </w:r>
      <w:r w:rsidR="0091010D" w:rsidRPr="00873B4D">
        <w:rPr>
          <w:rFonts w:ascii="Times New Roman" w:eastAsia="Calibri" w:hAnsi="Times New Roman" w:cs="Times New Roman"/>
          <w:sz w:val="24"/>
          <w:szCs w:val="24"/>
          <w:lang w:val="en-GB"/>
        </w:rPr>
        <w:t xml:space="preserve"> </w:t>
      </w:r>
      <w:r w:rsidR="0006358A">
        <w:rPr>
          <w:rFonts w:ascii="Times New Roman" w:eastAsia="Calibri" w:hAnsi="Times New Roman" w:cs="Times New Roman"/>
          <w:sz w:val="24"/>
          <w:szCs w:val="24"/>
          <w:lang w:val="en-GB"/>
        </w:rPr>
        <w:t xml:space="preserve">previous </w:t>
      </w:r>
      <w:r w:rsidR="0091010D" w:rsidRPr="00873B4D">
        <w:rPr>
          <w:rFonts w:ascii="Times New Roman" w:eastAsia="Calibri" w:hAnsi="Times New Roman" w:cs="Times New Roman"/>
          <w:sz w:val="24"/>
          <w:szCs w:val="24"/>
          <w:lang w:val="en-GB"/>
        </w:rPr>
        <w:t>studies</w:t>
      </w:r>
      <w:r w:rsidR="0091010D">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we controlled for the main effects that</w:t>
      </w:r>
      <w:r w:rsidR="0091010D">
        <w:rPr>
          <w:rFonts w:ascii="Times New Roman" w:eastAsia="Calibri" w:hAnsi="Times New Roman" w:cs="Times New Roman"/>
          <w:sz w:val="24"/>
          <w:szCs w:val="24"/>
          <w:lang w:val="en-GB"/>
        </w:rPr>
        <w:t xml:space="preserve"> the </w:t>
      </w:r>
      <w:r w:rsidR="0091010D" w:rsidRPr="00873B4D">
        <w:rPr>
          <w:rFonts w:ascii="Times New Roman" w:eastAsia="Calibri" w:hAnsi="Times New Roman" w:cs="Times New Roman"/>
          <w:sz w:val="24"/>
          <w:szCs w:val="24"/>
          <w:lang w:val="en-GB"/>
        </w:rPr>
        <w:t xml:space="preserve">firm’s characteristics have on performance. </w:t>
      </w:r>
      <w:r w:rsidR="00510194">
        <w:rPr>
          <w:rFonts w:ascii="Times New Roman" w:eastAsia="Calibri" w:hAnsi="Times New Roman" w:cs="Times New Roman"/>
          <w:sz w:val="24"/>
          <w:szCs w:val="24"/>
          <w:lang w:val="en-GB"/>
        </w:rPr>
        <w:t>In other words, we i</w:t>
      </w:r>
      <w:r w:rsidR="00510194" w:rsidRPr="00510194">
        <w:rPr>
          <w:rFonts w:ascii="Times New Roman" w:eastAsia="Calibri" w:hAnsi="Times New Roman" w:cs="Times New Roman"/>
          <w:sz w:val="24"/>
          <w:szCs w:val="24"/>
          <w:lang w:val="en-GB"/>
        </w:rPr>
        <w:t>nclude</w:t>
      </w:r>
      <w:r w:rsidR="00510194">
        <w:rPr>
          <w:rFonts w:ascii="Times New Roman" w:eastAsia="Calibri" w:hAnsi="Times New Roman" w:cs="Times New Roman"/>
          <w:sz w:val="24"/>
          <w:szCs w:val="24"/>
          <w:lang w:val="en-GB"/>
        </w:rPr>
        <w:t>d</w:t>
      </w:r>
      <w:r w:rsidR="00510194" w:rsidRPr="00510194">
        <w:rPr>
          <w:rFonts w:ascii="Times New Roman" w:eastAsia="Calibri" w:hAnsi="Times New Roman" w:cs="Times New Roman"/>
          <w:sz w:val="24"/>
          <w:szCs w:val="24"/>
          <w:lang w:val="en-GB"/>
        </w:rPr>
        <w:t xml:space="preserve"> control variables if they could have a causal effect on the dependent variable </w:t>
      </w:r>
      <w:r w:rsidR="00510194">
        <w:rPr>
          <w:rFonts w:ascii="Times New Roman" w:eastAsia="Calibri" w:hAnsi="Times New Roman" w:cs="Times New Roman"/>
          <w:sz w:val="24"/>
          <w:szCs w:val="24"/>
          <w:lang w:val="en-GB"/>
        </w:rPr>
        <w:t>(buyer performance)</w:t>
      </w:r>
      <w:r w:rsidR="00510194" w:rsidRPr="00510194">
        <w:rPr>
          <w:rFonts w:ascii="Times New Roman" w:eastAsia="Calibri" w:hAnsi="Times New Roman" w:cs="Times New Roman"/>
          <w:sz w:val="24"/>
          <w:szCs w:val="24"/>
          <w:lang w:val="en-GB"/>
        </w:rPr>
        <w:t>.</w:t>
      </w:r>
      <w:r w:rsidR="00510194">
        <w:rPr>
          <w:rFonts w:ascii="Times New Roman" w:eastAsia="Calibri" w:hAnsi="Times New Roman" w:cs="Times New Roman"/>
          <w:sz w:val="24"/>
          <w:szCs w:val="24"/>
          <w:lang w:val="en-GB"/>
        </w:rPr>
        <w:t xml:space="preserve"> </w:t>
      </w:r>
      <w:r w:rsidR="00510194">
        <w:rPr>
          <w:rFonts w:ascii="Times New Roman" w:eastAsia="Calibri" w:hAnsi="Times New Roman" w:cs="Times New Roman"/>
          <w:sz w:val="24"/>
          <w:szCs w:val="24"/>
          <w:lang w:val="en-GB"/>
        </w:rPr>
        <w:t>We analysed several variables that were used in similar studies</w:t>
      </w:r>
      <w:r w:rsidR="0075507F">
        <w:rPr>
          <w:rFonts w:ascii="Times New Roman" w:eastAsia="Calibri" w:hAnsi="Times New Roman" w:cs="Times New Roman"/>
          <w:sz w:val="24"/>
          <w:szCs w:val="24"/>
          <w:lang w:val="en-GB"/>
        </w:rPr>
        <w:t xml:space="preserve"> (e.g. </w:t>
      </w:r>
      <w:proofErr w:type="spellStart"/>
      <w:r w:rsidR="0075507F" w:rsidRPr="007A6E4B">
        <w:rPr>
          <w:rFonts w:ascii="Times New Roman" w:hAnsi="Times New Roman" w:cs="Times New Roman"/>
          <w:sz w:val="24"/>
          <w:lang w:val="en-US"/>
        </w:rPr>
        <w:t>Villena</w:t>
      </w:r>
      <w:proofErr w:type="spellEnd"/>
      <w:r w:rsidR="0075507F" w:rsidRPr="007A6E4B">
        <w:rPr>
          <w:rFonts w:ascii="Times New Roman" w:hAnsi="Times New Roman" w:cs="Times New Roman"/>
          <w:sz w:val="24"/>
          <w:lang w:val="en-US"/>
        </w:rPr>
        <w:t xml:space="preserve"> and Craighead, 2017</w:t>
      </w:r>
      <w:r w:rsidR="00686AB2">
        <w:rPr>
          <w:rFonts w:ascii="Times New Roman" w:hAnsi="Times New Roman" w:cs="Times New Roman"/>
          <w:sz w:val="24"/>
          <w:lang w:val="en-US"/>
        </w:rPr>
        <w:t xml:space="preserve">; Ahmed and </w:t>
      </w:r>
      <w:proofErr w:type="spellStart"/>
      <w:r w:rsidR="00686AB2">
        <w:rPr>
          <w:rFonts w:ascii="Times New Roman" w:hAnsi="Times New Roman" w:cs="Times New Roman"/>
          <w:sz w:val="24"/>
          <w:lang w:val="en-US"/>
        </w:rPr>
        <w:t>Shafiki</w:t>
      </w:r>
      <w:proofErr w:type="spellEnd"/>
      <w:r w:rsidR="00686AB2">
        <w:rPr>
          <w:rFonts w:ascii="Times New Roman" w:hAnsi="Times New Roman" w:cs="Times New Roman"/>
          <w:sz w:val="24"/>
          <w:lang w:val="en-US"/>
        </w:rPr>
        <w:t>, 2022</w:t>
      </w:r>
      <w:proofErr w:type="gramStart"/>
      <w:r w:rsidR="0075507F" w:rsidRPr="007A6E4B">
        <w:rPr>
          <w:rFonts w:ascii="Times New Roman" w:hAnsi="Times New Roman" w:cs="Times New Roman"/>
          <w:sz w:val="24"/>
          <w:lang w:val="en-US"/>
        </w:rPr>
        <w:t>)</w:t>
      </w:r>
      <w:r w:rsidR="00660FB9">
        <w:rPr>
          <w:rFonts w:ascii="Times New Roman" w:eastAsia="Calibri" w:hAnsi="Times New Roman" w:cs="Times New Roman"/>
          <w:sz w:val="24"/>
          <w:szCs w:val="24"/>
          <w:lang w:val="en-GB"/>
        </w:rPr>
        <w:t>,</w:t>
      </w:r>
      <w:r w:rsidR="00510194">
        <w:rPr>
          <w:rFonts w:ascii="Times New Roman" w:eastAsia="Calibri" w:hAnsi="Times New Roman" w:cs="Times New Roman"/>
          <w:sz w:val="24"/>
          <w:szCs w:val="24"/>
          <w:lang w:val="en-GB"/>
        </w:rPr>
        <w:t xml:space="preserve">  and</w:t>
      </w:r>
      <w:proofErr w:type="gramEnd"/>
      <w:r w:rsidR="00510194">
        <w:rPr>
          <w:rFonts w:ascii="Times New Roman" w:eastAsia="Calibri" w:hAnsi="Times New Roman" w:cs="Times New Roman"/>
          <w:sz w:val="24"/>
          <w:szCs w:val="24"/>
          <w:lang w:val="en-GB"/>
        </w:rPr>
        <w:t xml:space="preserve"> the selected buyer-level </w:t>
      </w:r>
      <w:r w:rsidR="00510194">
        <w:rPr>
          <w:rFonts w:ascii="Times New Roman" w:eastAsia="Calibri" w:hAnsi="Times New Roman" w:cs="Times New Roman"/>
          <w:sz w:val="24"/>
          <w:szCs w:val="24"/>
          <w:lang w:val="en-GB"/>
        </w:rPr>
        <w:lastRenderedPageBreak/>
        <w:t>control variables were</w:t>
      </w:r>
      <w:r w:rsidR="0075507F">
        <w:rPr>
          <w:rFonts w:ascii="Times New Roman" w:eastAsia="Calibri" w:hAnsi="Times New Roman" w:cs="Times New Roman"/>
          <w:sz w:val="24"/>
          <w:szCs w:val="24"/>
          <w:lang w:val="en-GB"/>
        </w:rPr>
        <w:t>:</w:t>
      </w:r>
      <w:r w:rsidR="00510194">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size, leverage, market share, business diversification</w:t>
      </w:r>
      <w:r w:rsidR="009F0FE8">
        <w:rPr>
          <w:rFonts w:ascii="Times New Roman" w:eastAsia="Calibri" w:hAnsi="Times New Roman" w:cs="Times New Roman"/>
          <w:sz w:val="24"/>
          <w:szCs w:val="24"/>
          <w:lang w:val="en-GB"/>
        </w:rPr>
        <w:t>,</w:t>
      </w:r>
      <w:r w:rsidR="006C2CC9">
        <w:rPr>
          <w:rFonts w:ascii="Times New Roman" w:eastAsia="Calibri" w:hAnsi="Times New Roman" w:cs="Times New Roman"/>
          <w:sz w:val="24"/>
          <w:szCs w:val="24"/>
          <w:lang w:val="en-GB"/>
        </w:rPr>
        <w:t xml:space="preserve"> and R&amp;D intensity</w:t>
      </w:r>
      <w:r w:rsidR="0091010D" w:rsidRPr="00873B4D">
        <w:rPr>
          <w:rFonts w:ascii="Times New Roman" w:eastAsia="Calibri" w:hAnsi="Times New Roman" w:cs="Times New Roman"/>
          <w:sz w:val="24"/>
          <w:szCs w:val="24"/>
          <w:lang w:val="en-GB"/>
        </w:rPr>
        <w:t>. Size was operationali</w:t>
      </w:r>
      <w:r w:rsidR="0006358A">
        <w:rPr>
          <w:rFonts w:ascii="Times New Roman" w:eastAsia="Calibri" w:hAnsi="Times New Roman" w:cs="Times New Roman"/>
          <w:sz w:val="24"/>
          <w:szCs w:val="24"/>
          <w:lang w:val="en-GB"/>
        </w:rPr>
        <w:t>z</w:t>
      </w:r>
      <w:r w:rsidR="0091010D" w:rsidRPr="00873B4D">
        <w:rPr>
          <w:rFonts w:ascii="Times New Roman" w:eastAsia="Calibri" w:hAnsi="Times New Roman" w:cs="Times New Roman"/>
          <w:sz w:val="24"/>
          <w:szCs w:val="24"/>
          <w:lang w:val="en-GB"/>
        </w:rPr>
        <w:t xml:space="preserve">ed as the natural log of total assets. Leverage was calculated </w:t>
      </w:r>
      <w:r w:rsidR="0091010D">
        <w:rPr>
          <w:rFonts w:ascii="Times New Roman" w:eastAsia="Calibri" w:hAnsi="Times New Roman" w:cs="Times New Roman"/>
          <w:sz w:val="24"/>
          <w:szCs w:val="24"/>
          <w:lang w:val="en-GB"/>
        </w:rPr>
        <w:t>by using the</w:t>
      </w:r>
      <w:r w:rsidR="0091010D" w:rsidRPr="00873B4D">
        <w:rPr>
          <w:rFonts w:ascii="Times New Roman" w:eastAsia="Calibri" w:hAnsi="Times New Roman" w:cs="Times New Roman"/>
          <w:sz w:val="24"/>
          <w:szCs w:val="24"/>
          <w:lang w:val="en-GB"/>
        </w:rPr>
        <w:t xml:space="preserve"> total debt to equity ratio. Market share was computed as the percentage of </w:t>
      </w:r>
      <w:r w:rsidR="00035C11">
        <w:rPr>
          <w:rFonts w:ascii="Times New Roman" w:eastAsia="Calibri" w:hAnsi="Times New Roman" w:cs="Times New Roman"/>
          <w:sz w:val="24"/>
          <w:szCs w:val="24"/>
          <w:lang w:val="en-GB"/>
        </w:rPr>
        <w:t xml:space="preserve">a </w:t>
      </w:r>
      <w:r w:rsidR="0091010D" w:rsidRPr="00873B4D">
        <w:rPr>
          <w:rFonts w:ascii="Times New Roman" w:eastAsia="Calibri" w:hAnsi="Times New Roman" w:cs="Times New Roman"/>
          <w:sz w:val="24"/>
          <w:szCs w:val="24"/>
          <w:lang w:val="en-GB"/>
        </w:rPr>
        <w:t xml:space="preserve">buyer’s sales over the total industry sales at </w:t>
      </w:r>
      <w:r w:rsidR="009F0FE8">
        <w:rPr>
          <w:rFonts w:ascii="Times New Roman" w:eastAsia="Calibri" w:hAnsi="Times New Roman" w:cs="Times New Roman"/>
          <w:sz w:val="24"/>
          <w:szCs w:val="24"/>
          <w:lang w:val="en-GB"/>
        </w:rPr>
        <w:t xml:space="preserve">the </w:t>
      </w:r>
      <w:r w:rsidR="0091010D" w:rsidRPr="00873B4D">
        <w:rPr>
          <w:rFonts w:ascii="Times New Roman" w:eastAsia="Calibri" w:hAnsi="Times New Roman" w:cs="Times New Roman"/>
          <w:sz w:val="24"/>
          <w:szCs w:val="24"/>
          <w:lang w:val="en-GB"/>
        </w:rPr>
        <w:t>four-digit NAICS</w:t>
      </w:r>
      <w:r w:rsidR="0091010D">
        <w:rPr>
          <w:rFonts w:ascii="Times New Roman" w:eastAsia="Calibri" w:hAnsi="Times New Roman" w:cs="Times New Roman"/>
          <w:sz w:val="24"/>
          <w:szCs w:val="24"/>
          <w:lang w:val="en-GB"/>
        </w:rPr>
        <w:t xml:space="preserve"> </w:t>
      </w:r>
      <w:r w:rsidR="0091010D" w:rsidRPr="00873B4D">
        <w:rPr>
          <w:rFonts w:ascii="Times New Roman" w:eastAsia="Calibri" w:hAnsi="Times New Roman" w:cs="Times New Roman"/>
          <w:sz w:val="24"/>
          <w:szCs w:val="24"/>
          <w:lang w:val="en-GB"/>
        </w:rPr>
        <w:t>level. Business diversification was measured as the number of business segment</w:t>
      </w:r>
      <w:r w:rsidR="0091010D">
        <w:rPr>
          <w:rFonts w:ascii="Times New Roman" w:eastAsia="Calibri" w:hAnsi="Times New Roman" w:cs="Times New Roman"/>
          <w:sz w:val="24"/>
          <w:szCs w:val="24"/>
          <w:lang w:val="en-GB"/>
        </w:rPr>
        <w:t>s</w:t>
      </w:r>
      <w:r w:rsidR="0091010D" w:rsidRPr="00873B4D">
        <w:rPr>
          <w:rFonts w:ascii="Times New Roman" w:eastAsia="Calibri" w:hAnsi="Times New Roman" w:cs="Times New Roman"/>
          <w:sz w:val="24"/>
          <w:szCs w:val="24"/>
          <w:lang w:val="en-GB"/>
        </w:rPr>
        <w:t>.</w:t>
      </w:r>
      <w:r w:rsidR="0091010D">
        <w:rPr>
          <w:rFonts w:ascii="Times New Roman" w:eastAsia="Calibri" w:hAnsi="Times New Roman" w:cs="Times New Roman"/>
          <w:sz w:val="24"/>
          <w:szCs w:val="24"/>
          <w:lang w:val="en-GB"/>
        </w:rPr>
        <w:t xml:space="preserve"> </w:t>
      </w:r>
      <w:r w:rsidR="006C2CC9">
        <w:rPr>
          <w:rFonts w:ascii="Times New Roman" w:eastAsia="Calibri" w:hAnsi="Times New Roman" w:cs="Times New Roman"/>
          <w:sz w:val="24"/>
          <w:szCs w:val="24"/>
          <w:lang w:val="en-GB"/>
        </w:rPr>
        <w:t xml:space="preserve">R&amp;D intensity was computed as research and development </w:t>
      </w:r>
      <w:r w:rsidR="009F0FE8">
        <w:rPr>
          <w:rFonts w:ascii="Times New Roman" w:eastAsia="Calibri" w:hAnsi="Times New Roman" w:cs="Times New Roman"/>
          <w:sz w:val="24"/>
          <w:szCs w:val="24"/>
          <w:lang w:val="en-GB"/>
        </w:rPr>
        <w:t xml:space="preserve">expenses </w:t>
      </w:r>
      <w:r w:rsidR="006C2CC9">
        <w:rPr>
          <w:rFonts w:ascii="Times New Roman" w:eastAsia="Calibri" w:hAnsi="Times New Roman" w:cs="Times New Roman"/>
          <w:sz w:val="24"/>
          <w:szCs w:val="24"/>
          <w:lang w:val="en-GB"/>
        </w:rPr>
        <w:t xml:space="preserve">scaled by total assets. </w:t>
      </w:r>
      <w:r w:rsidR="0091010D">
        <w:rPr>
          <w:rFonts w:ascii="Times New Roman" w:eastAsia="Calibri" w:hAnsi="Times New Roman" w:cs="Times New Roman"/>
          <w:sz w:val="24"/>
          <w:szCs w:val="24"/>
          <w:lang w:val="en-GB"/>
        </w:rPr>
        <w:t xml:space="preserve">In addition, we also control for the relative </w:t>
      </w:r>
      <w:r w:rsidR="002D1043">
        <w:rPr>
          <w:rFonts w:ascii="Times New Roman" w:eastAsia="Calibri" w:hAnsi="Times New Roman" w:cs="Times New Roman"/>
          <w:sz w:val="24"/>
          <w:szCs w:val="24"/>
          <w:lang w:val="en-GB"/>
        </w:rPr>
        <w:t>environmental, social and governance (</w:t>
      </w:r>
      <w:r w:rsidR="0091010D">
        <w:rPr>
          <w:rFonts w:ascii="Times New Roman" w:eastAsia="Calibri" w:hAnsi="Times New Roman" w:cs="Times New Roman"/>
          <w:sz w:val="24"/>
          <w:szCs w:val="24"/>
          <w:lang w:val="en-GB"/>
        </w:rPr>
        <w:t>ESG</w:t>
      </w:r>
      <w:r w:rsidR="002D1043">
        <w:rPr>
          <w:rFonts w:ascii="Times New Roman" w:eastAsia="Calibri" w:hAnsi="Times New Roman" w:cs="Times New Roman"/>
          <w:sz w:val="24"/>
          <w:szCs w:val="24"/>
          <w:lang w:val="en-GB"/>
        </w:rPr>
        <w:t>)</w:t>
      </w:r>
      <w:r w:rsidR="0091010D">
        <w:rPr>
          <w:rFonts w:ascii="Times New Roman" w:eastAsia="Calibri" w:hAnsi="Times New Roman" w:cs="Times New Roman"/>
          <w:sz w:val="24"/>
          <w:szCs w:val="24"/>
          <w:lang w:val="en-GB"/>
        </w:rPr>
        <w:t xml:space="preserve"> performance for both buyer and top supplier firms</w:t>
      </w:r>
      <w:r w:rsidR="0091010D" w:rsidRPr="00873B4D">
        <w:rPr>
          <w:rFonts w:ascii="Times New Roman" w:eastAsia="Calibri" w:hAnsi="Times New Roman" w:cs="Times New Roman"/>
          <w:sz w:val="24"/>
          <w:szCs w:val="24"/>
          <w:lang w:val="en-GB"/>
        </w:rPr>
        <w:t>.</w:t>
      </w:r>
      <w:r w:rsidR="0091010D">
        <w:rPr>
          <w:rFonts w:ascii="Times New Roman" w:eastAsia="Calibri" w:hAnsi="Times New Roman" w:cs="Times New Roman"/>
          <w:sz w:val="24"/>
          <w:szCs w:val="24"/>
          <w:lang w:val="en-GB"/>
        </w:rPr>
        <w:t xml:space="preserve"> The </w:t>
      </w:r>
      <w:r w:rsidR="0091010D" w:rsidRPr="0006252B">
        <w:rPr>
          <w:rFonts w:ascii="Times New Roman" w:eastAsia="Calibri" w:hAnsi="Times New Roman" w:cs="Times New Roman"/>
          <w:sz w:val="24"/>
          <w:szCs w:val="24"/>
          <w:lang w:val="en-GB"/>
        </w:rPr>
        <w:t xml:space="preserve">relative ESG firm performance variable was included as </w:t>
      </w:r>
      <w:r w:rsidR="00035C11">
        <w:rPr>
          <w:rFonts w:ascii="Times New Roman" w:eastAsia="Calibri" w:hAnsi="Times New Roman" w:cs="Times New Roman"/>
          <w:sz w:val="24"/>
          <w:szCs w:val="24"/>
          <w:lang w:val="en-GB"/>
        </w:rPr>
        <w:t>a firm’s</w:t>
      </w:r>
      <w:r w:rsidR="00035C11" w:rsidRPr="0006252B">
        <w:rPr>
          <w:rFonts w:ascii="Times New Roman" w:eastAsia="Calibri" w:hAnsi="Times New Roman" w:cs="Times New Roman"/>
          <w:sz w:val="24"/>
          <w:szCs w:val="24"/>
          <w:lang w:val="en-GB"/>
        </w:rPr>
        <w:t xml:space="preserve"> </w:t>
      </w:r>
      <w:r w:rsidR="0091010D" w:rsidRPr="0006252B">
        <w:rPr>
          <w:rFonts w:ascii="Times New Roman" w:eastAsia="Calibri" w:hAnsi="Times New Roman" w:cs="Times New Roman"/>
          <w:sz w:val="24"/>
          <w:szCs w:val="24"/>
          <w:lang w:val="en-GB"/>
        </w:rPr>
        <w:t>overall relative score</w:t>
      </w:r>
      <w:r w:rsidR="0091010D">
        <w:rPr>
          <w:rFonts w:ascii="Times New Roman" w:eastAsia="Calibri" w:hAnsi="Times New Roman" w:cs="Times New Roman"/>
          <w:sz w:val="24"/>
          <w:szCs w:val="24"/>
          <w:lang w:val="en-GB"/>
        </w:rPr>
        <w:t xml:space="preserve"> with respect to other firms of its industry used as benchmarks,</w:t>
      </w:r>
      <w:r w:rsidR="000F768E">
        <w:rPr>
          <w:rFonts w:ascii="Times New Roman" w:eastAsia="Calibri" w:hAnsi="Times New Roman" w:cs="Times New Roman"/>
          <w:sz w:val="24"/>
          <w:szCs w:val="24"/>
          <w:lang w:val="en-GB"/>
        </w:rPr>
        <w:t xml:space="preserve"> </w:t>
      </w:r>
      <w:r w:rsidR="009F0FE8">
        <w:rPr>
          <w:rFonts w:ascii="Times New Roman" w:eastAsia="Calibri" w:hAnsi="Times New Roman" w:cs="Times New Roman"/>
          <w:sz w:val="24"/>
          <w:szCs w:val="24"/>
          <w:lang w:val="en-GB"/>
        </w:rPr>
        <w:t xml:space="preserve">using </w:t>
      </w:r>
      <w:r w:rsidR="0091010D">
        <w:rPr>
          <w:rFonts w:ascii="Times New Roman" w:eastAsia="Calibri" w:hAnsi="Times New Roman" w:cs="Times New Roman"/>
          <w:sz w:val="24"/>
          <w:szCs w:val="24"/>
          <w:lang w:val="en-GB"/>
        </w:rPr>
        <w:t xml:space="preserve">a percentage score </w:t>
      </w:r>
      <w:r w:rsidR="009F0FE8">
        <w:rPr>
          <w:rFonts w:ascii="Times New Roman" w:eastAsia="Calibri" w:hAnsi="Times New Roman" w:cs="Times New Roman"/>
          <w:sz w:val="24"/>
          <w:szCs w:val="24"/>
          <w:lang w:val="en-GB"/>
        </w:rPr>
        <w:t xml:space="preserve">ranking </w:t>
      </w:r>
      <w:r w:rsidR="0091010D">
        <w:rPr>
          <w:rFonts w:ascii="Times New Roman" w:eastAsia="Calibri" w:hAnsi="Times New Roman" w:cs="Times New Roman"/>
          <w:sz w:val="24"/>
          <w:szCs w:val="24"/>
          <w:lang w:val="en-GB"/>
        </w:rPr>
        <w:t xml:space="preserve">from 0 to 100. </w:t>
      </w:r>
      <w:proofErr w:type="spellStart"/>
      <w:r w:rsidR="0091010D">
        <w:rPr>
          <w:rFonts w:ascii="Times New Roman" w:eastAsia="Calibri" w:hAnsi="Times New Roman" w:cs="Times New Roman"/>
          <w:sz w:val="24"/>
          <w:szCs w:val="24"/>
          <w:lang w:val="en-GB"/>
        </w:rPr>
        <w:t>Reinfitiv</w:t>
      </w:r>
      <w:proofErr w:type="spellEnd"/>
      <w:r w:rsidR="0091010D">
        <w:rPr>
          <w:rFonts w:ascii="Times New Roman" w:eastAsia="Calibri" w:hAnsi="Times New Roman" w:cs="Times New Roman"/>
          <w:sz w:val="24"/>
          <w:szCs w:val="24"/>
          <w:lang w:val="en-GB"/>
        </w:rPr>
        <w:t xml:space="preserve"> Eikon estimated this score using annual public information based on the fiscal year and on a referential </w:t>
      </w:r>
      <w:r w:rsidR="00035C11">
        <w:rPr>
          <w:rFonts w:ascii="Times New Roman" w:eastAsia="Calibri" w:hAnsi="Times New Roman" w:cs="Times New Roman"/>
          <w:sz w:val="24"/>
          <w:szCs w:val="24"/>
          <w:lang w:val="en-GB"/>
        </w:rPr>
        <w:t xml:space="preserve">basis </w:t>
      </w:r>
      <w:r w:rsidR="0091010D">
        <w:rPr>
          <w:rFonts w:ascii="Times New Roman" w:eastAsia="Calibri" w:hAnsi="Times New Roman" w:cs="Times New Roman"/>
          <w:sz w:val="24"/>
          <w:szCs w:val="24"/>
          <w:lang w:val="en-GB"/>
        </w:rPr>
        <w:t xml:space="preserve">of multiple sustainability indicators. </w:t>
      </w:r>
      <w:r w:rsidR="0091010D" w:rsidRPr="00873B4D">
        <w:rPr>
          <w:rFonts w:ascii="Times New Roman" w:eastAsia="Calibri" w:hAnsi="Times New Roman" w:cs="Times New Roman"/>
          <w:sz w:val="24"/>
          <w:szCs w:val="24"/>
          <w:lang w:val="en-GB"/>
        </w:rPr>
        <w:t xml:space="preserve">For relationship-level control variables, we included in the analysis the </w:t>
      </w:r>
      <w:r w:rsidR="0091010D">
        <w:rPr>
          <w:rFonts w:ascii="Times New Roman" w:eastAsia="Calibri" w:hAnsi="Times New Roman" w:cs="Times New Roman"/>
          <w:sz w:val="24"/>
          <w:szCs w:val="24"/>
          <w:lang w:val="en-GB"/>
        </w:rPr>
        <w:t>length of the relationship</w:t>
      </w:r>
      <w:r w:rsidR="0091010D" w:rsidRPr="00873B4D">
        <w:rPr>
          <w:rFonts w:ascii="Times New Roman" w:eastAsia="Calibri" w:hAnsi="Times New Roman" w:cs="Times New Roman"/>
          <w:sz w:val="24"/>
          <w:szCs w:val="24"/>
          <w:lang w:val="en-GB"/>
        </w:rPr>
        <w:t xml:space="preserve"> and mutual dependence. </w:t>
      </w:r>
      <w:r w:rsidR="0091010D">
        <w:rPr>
          <w:rFonts w:ascii="Times New Roman" w:eastAsia="Calibri" w:hAnsi="Times New Roman" w:cs="Times New Roman"/>
          <w:sz w:val="24"/>
          <w:szCs w:val="24"/>
          <w:lang w:val="en-GB"/>
        </w:rPr>
        <w:t>Relationship</w:t>
      </w:r>
      <w:r w:rsidR="0091010D" w:rsidRPr="00873B4D">
        <w:rPr>
          <w:rFonts w:ascii="Times New Roman" w:eastAsia="Calibri" w:hAnsi="Times New Roman" w:cs="Times New Roman"/>
          <w:sz w:val="24"/>
          <w:szCs w:val="24"/>
          <w:lang w:val="en-GB"/>
        </w:rPr>
        <w:t xml:space="preserve"> </w:t>
      </w:r>
      <w:r w:rsidR="0091010D">
        <w:rPr>
          <w:rFonts w:ascii="Times New Roman" w:eastAsia="Calibri" w:hAnsi="Times New Roman" w:cs="Times New Roman"/>
          <w:sz w:val="24"/>
          <w:szCs w:val="24"/>
          <w:lang w:val="en-GB"/>
        </w:rPr>
        <w:t xml:space="preserve">length </w:t>
      </w:r>
      <w:r w:rsidR="0091010D" w:rsidRPr="00873B4D">
        <w:rPr>
          <w:rFonts w:ascii="Times New Roman" w:eastAsia="Calibri" w:hAnsi="Times New Roman" w:cs="Times New Roman"/>
          <w:sz w:val="24"/>
          <w:szCs w:val="24"/>
          <w:lang w:val="en-GB"/>
        </w:rPr>
        <w:t>was operationali</w:t>
      </w:r>
      <w:r w:rsidR="0006358A">
        <w:rPr>
          <w:rFonts w:ascii="Times New Roman" w:eastAsia="Calibri" w:hAnsi="Times New Roman" w:cs="Times New Roman"/>
          <w:sz w:val="24"/>
          <w:szCs w:val="24"/>
          <w:lang w:val="en-GB"/>
        </w:rPr>
        <w:t>z</w:t>
      </w:r>
      <w:r w:rsidR="0091010D" w:rsidRPr="00873B4D">
        <w:rPr>
          <w:rFonts w:ascii="Times New Roman" w:eastAsia="Calibri" w:hAnsi="Times New Roman" w:cs="Times New Roman"/>
          <w:sz w:val="24"/>
          <w:szCs w:val="24"/>
          <w:lang w:val="en-GB"/>
        </w:rPr>
        <w:t xml:space="preserve">ed as </w:t>
      </w:r>
      <w:r w:rsidR="0091010D">
        <w:rPr>
          <w:rFonts w:ascii="Times New Roman" w:eastAsia="Calibri" w:hAnsi="Times New Roman" w:cs="Times New Roman"/>
          <w:sz w:val="24"/>
          <w:szCs w:val="24"/>
          <w:lang w:val="en-GB"/>
        </w:rPr>
        <w:t xml:space="preserve">the </w:t>
      </w:r>
      <w:r w:rsidR="0091010D" w:rsidRPr="00873B4D">
        <w:rPr>
          <w:rFonts w:ascii="Times New Roman" w:eastAsia="Calibri" w:hAnsi="Times New Roman" w:cs="Times New Roman"/>
          <w:sz w:val="24"/>
          <w:szCs w:val="24"/>
          <w:lang w:val="en-GB"/>
        </w:rPr>
        <w:t xml:space="preserve">number of years since the supplier began to </w:t>
      </w:r>
      <w:r w:rsidR="0091010D">
        <w:rPr>
          <w:rFonts w:ascii="Times New Roman" w:eastAsia="Calibri" w:hAnsi="Times New Roman" w:cs="Times New Roman"/>
          <w:sz w:val="24"/>
          <w:szCs w:val="24"/>
          <w:lang w:val="en-GB"/>
        </w:rPr>
        <w:t xml:space="preserve">be part </w:t>
      </w:r>
      <w:r w:rsidR="00701ECD">
        <w:rPr>
          <w:rFonts w:ascii="Times New Roman" w:eastAsia="Calibri" w:hAnsi="Times New Roman" w:cs="Times New Roman"/>
          <w:sz w:val="24"/>
          <w:szCs w:val="24"/>
          <w:lang w:val="en-GB"/>
        </w:rPr>
        <w:t>as a top supplier in the</w:t>
      </w:r>
      <w:r w:rsidR="0091010D" w:rsidRPr="00873B4D">
        <w:rPr>
          <w:rFonts w:ascii="Times New Roman" w:eastAsia="Calibri" w:hAnsi="Times New Roman" w:cs="Times New Roman"/>
          <w:sz w:val="24"/>
          <w:szCs w:val="24"/>
          <w:lang w:val="en-GB"/>
        </w:rPr>
        <w:t xml:space="preserve"> buyer’s </w:t>
      </w:r>
      <w:r w:rsidR="00701ECD">
        <w:rPr>
          <w:rFonts w:ascii="Times New Roman" w:eastAsia="Calibri" w:hAnsi="Times New Roman" w:cs="Times New Roman"/>
          <w:sz w:val="24"/>
          <w:szCs w:val="24"/>
          <w:lang w:val="en-GB"/>
        </w:rPr>
        <w:t>supply chain</w:t>
      </w:r>
      <w:r w:rsidR="0091010D" w:rsidRPr="00873B4D">
        <w:rPr>
          <w:rFonts w:ascii="Times New Roman" w:eastAsia="Calibri" w:hAnsi="Times New Roman" w:cs="Times New Roman"/>
          <w:sz w:val="24"/>
          <w:szCs w:val="24"/>
          <w:lang w:val="en-GB"/>
        </w:rPr>
        <w:t>. Mutual dependence was measured as the product of two terms: the supplier’s sales to the buyer over total supplier sales</w:t>
      </w:r>
      <w:r w:rsidR="0091010D">
        <w:rPr>
          <w:rFonts w:ascii="Times New Roman" w:eastAsia="Calibri" w:hAnsi="Times New Roman" w:cs="Times New Roman"/>
          <w:sz w:val="24"/>
          <w:szCs w:val="24"/>
          <w:lang w:val="en-GB"/>
        </w:rPr>
        <w:t>,</w:t>
      </w:r>
      <w:r w:rsidR="0091010D" w:rsidRPr="00873B4D">
        <w:rPr>
          <w:rFonts w:ascii="Times New Roman" w:eastAsia="Calibri" w:hAnsi="Times New Roman" w:cs="Times New Roman"/>
          <w:sz w:val="24"/>
          <w:szCs w:val="24"/>
          <w:lang w:val="en-GB"/>
        </w:rPr>
        <w:t xml:space="preserve"> and the supplier’s sales to the buyer over the buyer’s total costs of goods sold. </w:t>
      </w:r>
    </w:p>
    <w:p w14:paraId="59598796" w14:textId="6EC87339" w:rsidR="0091010D" w:rsidRDefault="0091010D" w:rsidP="0091010D">
      <w:pPr>
        <w:spacing w:line="480" w:lineRule="auto"/>
        <w:jc w:val="both"/>
        <w:rPr>
          <w:rFonts w:ascii="Times New Roman" w:eastAsia="Calibri" w:hAnsi="Times New Roman" w:cs="Times New Roman"/>
          <w:sz w:val="24"/>
          <w:szCs w:val="24"/>
          <w:lang w:val="en-GB"/>
        </w:rPr>
      </w:pPr>
      <w:r w:rsidRPr="009B5522">
        <w:rPr>
          <w:rFonts w:ascii="Times New Roman" w:eastAsia="Calibri" w:hAnsi="Times New Roman" w:cs="Times New Roman"/>
          <w:sz w:val="24"/>
          <w:szCs w:val="24"/>
          <w:lang w:val="en-GB"/>
        </w:rPr>
        <w:t>Lastly, we also controlled for the time effects</w:t>
      </w:r>
      <w:r w:rsidRPr="00873B4D">
        <w:rPr>
          <w:rFonts w:ascii="Times New Roman" w:eastAsia="Calibri" w:hAnsi="Times New Roman" w:cs="Times New Roman"/>
          <w:sz w:val="24"/>
          <w:szCs w:val="24"/>
          <w:lang w:val="en-GB"/>
        </w:rPr>
        <w:t xml:space="preserve"> associated </w:t>
      </w:r>
      <w:r>
        <w:rPr>
          <w:rFonts w:ascii="Times New Roman" w:eastAsia="Calibri" w:hAnsi="Times New Roman" w:cs="Times New Roman"/>
          <w:sz w:val="24"/>
          <w:szCs w:val="24"/>
          <w:lang w:val="en-GB"/>
        </w:rPr>
        <w:t>with the</w:t>
      </w:r>
      <w:r w:rsidRPr="00873B4D">
        <w:rPr>
          <w:rFonts w:ascii="Times New Roman" w:eastAsia="Calibri" w:hAnsi="Times New Roman" w:cs="Times New Roman"/>
          <w:sz w:val="24"/>
          <w:szCs w:val="24"/>
          <w:lang w:val="en-GB"/>
        </w:rPr>
        <w:t xml:space="preserve"> evolution</w:t>
      </w:r>
      <w:r>
        <w:rPr>
          <w:rFonts w:ascii="Times New Roman" w:eastAsia="Calibri" w:hAnsi="Times New Roman" w:cs="Times New Roman"/>
          <w:sz w:val="24"/>
          <w:szCs w:val="24"/>
          <w:lang w:val="en-GB"/>
        </w:rPr>
        <w:t xml:space="preserve"> of</w:t>
      </w:r>
      <w:r w:rsidRPr="00873B4D">
        <w:rPr>
          <w:rFonts w:ascii="Times New Roman" w:eastAsia="Calibri" w:hAnsi="Times New Roman" w:cs="Times New Roman"/>
          <w:sz w:val="24"/>
          <w:szCs w:val="24"/>
          <w:lang w:val="en-GB"/>
        </w:rPr>
        <w:t xml:space="preserve"> economic activity by adding time dummy variables in</w:t>
      </w:r>
      <w:r>
        <w:rPr>
          <w:rFonts w:ascii="Times New Roman" w:eastAsia="Calibri" w:hAnsi="Times New Roman" w:cs="Times New Roman"/>
          <w:sz w:val="24"/>
          <w:szCs w:val="24"/>
          <w:lang w:val="en-GB"/>
        </w:rPr>
        <w:t>to</w:t>
      </w:r>
      <w:r w:rsidRPr="00873B4D">
        <w:rPr>
          <w:rFonts w:ascii="Times New Roman" w:eastAsia="Calibri" w:hAnsi="Times New Roman" w:cs="Times New Roman"/>
          <w:sz w:val="24"/>
          <w:szCs w:val="24"/>
          <w:lang w:val="en-GB"/>
        </w:rPr>
        <w:t xml:space="preserve"> the analysis</w:t>
      </w:r>
      <w:r w:rsidR="009B5522">
        <w:rPr>
          <w:rFonts w:ascii="Times New Roman" w:eastAsia="Calibri" w:hAnsi="Times New Roman" w:cs="Times New Roman"/>
          <w:sz w:val="24"/>
          <w:szCs w:val="24"/>
          <w:lang w:val="en-GB"/>
        </w:rPr>
        <w:t xml:space="preserve"> and</w:t>
      </w:r>
      <w:r w:rsidRPr="00873B4D">
        <w:rPr>
          <w:rFonts w:ascii="Times New Roman" w:eastAsia="Calibri" w:hAnsi="Times New Roman" w:cs="Times New Roman"/>
          <w:sz w:val="24"/>
          <w:szCs w:val="24"/>
          <w:lang w:val="en-GB"/>
        </w:rPr>
        <w:t xml:space="preserve"> omitting the dummy for year </w:t>
      </w:r>
      <w:r>
        <w:rPr>
          <w:rFonts w:ascii="Times New Roman" w:eastAsia="Calibri" w:hAnsi="Times New Roman" w:cs="Times New Roman"/>
          <w:sz w:val="24"/>
          <w:szCs w:val="24"/>
          <w:lang w:val="en-GB"/>
        </w:rPr>
        <w:t>2011</w:t>
      </w:r>
      <w:r w:rsidRPr="00873B4D">
        <w:rPr>
          <w:rFonts w:ascii="Times New Roman" w:eastAsia="Calibri" w:hAnsi="Times New Roman" w:cs="Times New Roman"/>
          <w:sz w:val="24"/>
          <w:szCs w:val="24"/>
          <w:lang w:val="en-GB"/>
        </w:rPr>
        <w:t xml:space="preserve"> to avoid collinearity associated </w:t>
      </w:r>
      <w:r>
        <w:rPr>
          <w:rFonts w:ascii="Times New Roman" w:eastAsia="Calibri" w:hAnsi="Times New Roman" w:cs="Times New Roman"/>
          <w:sz w:val="24"/>
          <w:szCs w:val="24"/>
          <w:lang w:val="en-GB"/>
        </w:rPr>
        <w:t>with</w:t>
      </w:r>
      <w:r w:rsidRPr="00873B4D">
        <w:rPr>
          <w:rFonts w:ascii="Times New Roman" w:eastAsia="Calibri" w:hAnsi="Times New Roman" w:cs="Times New Roman"/>
          <w:sz w:val="24"/>
          <w:szCs w:val="24"/>
          <w:lang w:val="en-GB"/>
        </w:rPr>
        <w:t xml:space="preserve"> the dummy-variable trap.</w:t>
      </w:r>
      <w:r w:rsidR="00BD328B">
        <w:rPr>
          <w:rFonts w:ascii="Times New Roman" w:eastAsia="Calibri" w:hAnsi="Times New Roman" w:cs="Times New Roman"/>
          <w:sz w:val="24"/>
          <w:szCs w:val="24"/>
          <w:lang w:val="en-GB"/>
        </w:rPr>
        <w:t xml:space="preserve"> A</w:t>
      </w:r>
      <w:r w:rsidR="00BD328B" w:rsidRPr="00873B4D">
        <w:rPr>
          <w:rFonts w:ascii="Times New Roman" w:eastAsia="Calibri" w:hAnsi="Times New Roman" w:cs="Times New Roman"/>
          <w:sz w:val="24"/>
          <w:szCs w:val="24"/>
          <w:lang w:val="en-GB"/>
        </w:rPr>
        <w:t xml:space="preserve">ll independent </w:t>
      </w:r>
      <w:r w:rsidR="00BD328B">
        <w:rPr>
          <w:rFonts w:ascii="Times New Roman" w:eastAsia="Calibri" w:hAnsi="Times New Roman" w:cs="Times New Roman"/>
          <w:sz w:val="24"/>
          <w:szCs w:val="24"/>
          <w:lang w:val="en-GB"/>
        </w:rPr>
        <w:t xml:space="preserve">and control </w:t>
      </w:r>
      <w:r w:rsidR="00BD328B" w:rsidRPr="00873B4D">
        <w:rPr>
          <w:rFonts w:ascii="Times New Roman" w:eastAsia="Calibri" w:hAnsi="Times New Roman" w:cs="Times New Roman"/>
          <w:sz w:val="24"/>
          <w:szCs w:val="24"/>
          <w:lang w:val="en-GB"/>
        </w:rPr>
        <w:t xml:space="preserve">variables are included in the analysis with </w:t>
      </w:r>
      <w:r w:rsidR="00BD328B">
        <w:rPr>
          <w:rFonts w:ascii="Times New Roman" w:eastAsia="Calibri" w:hAnsi="Times New Roman" w:cs="Times New Roman"/>
          <w:sz w:val="24"/>
          <w:szCs w:val="24"/>
          <w:lang w:val="en-GB"/>
        </w:rPr>
        <w:t>a one</w:t>
      </w:r>
      <w:r w:rsidR="00BD328B" w:rsidRPr="00873B4D">
        <w:rPr>
          <w:rFonts w:ascii="Times New Roman" w:eastAsia="Calibri" w:hAnsi="Times New Roman" w:cs="Times New Roman"/>
          <w:sz w:val="24"/>
          <w:szCs w:val="24"/>
          <w:lang w:val="en-GB"/>
        </w:rPr>
        <w:t xml:space="preserve">-year time lag to avoid reverse causality. </w:t>
      </w:r>
    </w:p>
    <w:p w14:paraId="1AF95283" w14:textId="77777777" w:rsidR="00D14AB5" w:rsidRDefault="00D14AB5" w:rsidP="0091010D">
      <w:pPr>
        <w:spacing w:line="480" w:lineRule="auto"/>
        <w:jc w:val="both"/>
        <w:rPr>
          <w:rFonts w:ascii="Times New Roman" w:eastAsia="Calibri" w:hAnsi="Times New Roman" w:cs="Times New Roman"/>
          <w:sz w:val="24"/>
          <w:szCs w:val="24"/>
          <w:lang w:val="en-GB"/>
        </w:rPr>
      </w:pPr>
    </w:p>
    <w:p w14:paraId="3056FACA" w14:textId="7A48F3E0" w:rsidR="0091010D" w:rsidRPr="00D1660C" w:rsidRDefault="00BD328B" w:rsidP="0091010D">
      <w:pPr>
        <w:spacing w:line="480" w:lineRule="auto"/>
        <w:jc w:val="both"/>
        <w:rPr>
          <w:rFonts w:ascii="Times New Roman" w:eastAsia="Calibri" w:hAnsi="Times New Roman" w:cs="Times New Roman"/>
          <w:i/>
          <w:sz w:val="24"/>
          <w:szCs w:val="24"/>
          <w:lang w:val="en-GB"/>
        </w:rPr>
      </w:pPr>
      <w:r w:rsidRPr="00D1660C">
        <w:rPr>
          <w:rFonts w:ascii="Times New Roman" w:eastAsia="Calibri" w:hAnsi="Times New Roman" w:cs="Times New Roman"/>
          <w:i/>
          <w:sz w:val="24"/>
          <w:szCs w:val="24"/>
          <w:lang w:val="en-GB"/>
        </w:rPr>
        <w:t>3</w:t>
      </w:r>
      <w:r w:rsidR="0091010D" w:rsidRPr="00D1660C">
        <w:rPr>
          <w:rFonts w:ascii="Times New Roman" w:eastAsia="Calibri" w:hAnsi="Times New Roman" w:cs="Times New Roman"/>
          <w:i/>
          <w:sz w:val="24"/>
          <w:szCs w:val="24"/>
          <w:lang w:val="en-GB"/>
        </w:rPr>
        <w:t>.3 Econometric model</w:t>
      </w:r>
    </w:p>
    <w:p w14:paraId="13DFF45F" w14:textId="420D40C1" w:rsidR="0091010D" w:rsidRDefault="0091010D" w:rsidP="0091010D">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W</w:t>
      </w:r>
      <w:r w:rsidRPr="00873B4D">
        <w:rPr>
          <w:rFonts w:ascii="Times New Roman" w:eastAsia="Calibri" w:hAnsi="Times New Roman" w:cs="Times New Roman"/>
          <w:sz w:val="24"/>
          <w:szCs w:val="24"/>
          <w:lang w:val="en-GB"/>
        </w:rPr>
        <w:t>e used the specification of fixed</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effects regression with robust standard errors</w:t>
      </w:r>
      <w:r>
        <w:rPr>
          <w:rFonts w:ascii="Times New Roman" w:eastAsia="Calibri" w:hAnsi="Times New Roman" w:cs="Times New Roman"/>
          <w:sz w:val="24"/>
          <w:szCs w:val="24"/>
          <w:lang w:val="en-GB"/>
        </w:rPr>
        <w:t xml:space="preserve"> to test the effect of sustainability asymmetries on </w:t>
      </w:r>
      <w:r w:rsidR="00D663CD">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buyer</w:t>
      </w:r>
      <w:r w:rsidR="00D663CD">
        <w:rPr>
          <w:rFonts w:ascii="Times New Roman" w:eastAsia="Calibri" w:hAnsi="Times New Roman" w:cs="Times New Roman"/>
          <w:sz w:val="24"/>
          <w:szCs w:val="24"/>
          <w:lang w:val="en-GB"/>
        </w:rPr>
        <w:t>’s financial and market</w:t>
      </w:r>
      <w:r>
        <w:rPr>
          <w:rFonts w:ascii="Times New Roman" w:eastAsia="Calibri" w:hAnsi="Times New Roman" w:cs="Times New Roman"/>
          <w:sz w:val="24"/>
          <w:szCs w:val="24"/>
          <w:lang w:val="en-GB"/>
        </w:rPr>
        <w:t xml:space="preserve"> performance</w:t>
      </w:r>
      <w:r w:rsidRPr="00873B4D">
        <w:rPr>
          <w:rFonts w:ascii="Times New Roman" w:eastAsia="Calibri" w:hAnsi="Times New Roman" w:cs="Times New Roman"/>
          <w:sz w:val="24"/>
          <w:szCs w:val="24"/>
          <w:lang w:val="en-GB"/>
        </w:rPr>
        <w:t xml:space="preserve"> for several reasons. Firstly, the proposed hypotheses were formulated in line </w:t>
      </w:r>
      <w:r w:rsidR="00042970">
        <w:rPr>
          <w:rFonts w:ascii="Times New Roman" w:eastAsia="Calibri" w:hAnsi="Times New Roman" w:cs="Times New Roman"/>
          <w:sz w:val="24"/>
          <w:szCs w:val="24"/>
          <w:lang w:val="en-GB"/>
        </w:rPr>
        <w:t>with</w:t>
      </w:r>
      <w:r w:rsidR="00042970" w:rsidRPr="00873B4D">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 xml:space="preserve">testing the causes of changes within each unit-interfirm, implying that </w:t>
      </w:r>
      <w:r w:rsidR="00D52F25">
        <w:rPr>
          <w:rFonts w:ascii="Times New Roman" w:eastAsia="Calibri" w:hAnsi="Times New Roman" w:cs="Times New Roman"/>
          <w:sz w:val="24"/>
          <w:szCs w:val="24"/>
          <w:lang w:val="en-GB"/>
        </w:rPr>
        <w:t>every</w:t>
      </w:r>
      <w:r w:rsidR="00D52F25" w:rsidRPr="00873B4D">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 xml:space="preserve">observation in each </w:t>
      </w:r>
      <w:r w:rsidR="00042970" w:rsidRPr="00873B4D">
        <w:rPr>
          <w:rFonts w:ascii="Times New Roman" w:eastAsia="Calibri" w:hAnsi="Times New Roman" w:cs="Times New Roman"/>
          <w:sz w:val="24"/>
          <w:szCs w:val="24"/>
          <w:lang w:val="en-GB"/>
        </w:rPr>
        <w:t>cross</w:t>
      </w:r>
      <w:r w:rsidR="00042970">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section needed to refer to the same unit-interfirm, </w:t>
      </w:r>
      <w:r>
        <w:rPr>
          <w:rFonts w:ascii="Times New Roman" w:eastAsia="Calibri" w:hAnsi="Times New Roman" w:cs="Times New Roman"/>
          <w:sz w:val="24"/>
          <w:szCs w:val="24"/>
          <w:lang w:val="en-GB"/>
        </w:rPr>
        <w:t xml:space="preserve">therefore </w:t>
      </w:r>
      <w:r w:rsidRPr="00873B4D">
        <w:rPr>
          <w:rFonts w:ascii="Times New Roman" w:eastAsia="Calibri" w:hAnsi="Times New Roman" w:cs="Times New Roman"/>
          <w:sz w:val="24"/>
          <w:szCs w:val="24"/>
          <w:lang w:val="en-GB"/>
        </w:rPr>
        <w:t>failing to satisfy the independent errors assumption of OLS regression. A pooled regression with cluster by dyad, industry</w:t>
      </w:r>
      <w:r w:rsidR="00042970">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 and time-fixed effects could be used instead. However, this specification would not be </w:t>
      </w:r>
      <w:r>
        <w:rPr>
          <w:rFonts w:ascii="Times New Roman" w:eastAsia="Calibri" w:hAnsi="Times New Roman" w:cs="Times New Roman"/>
          <w:sz w:val="24"/>
          <w:szCs w:val="24"/>
          <w:lang w:val="en-GB"/>
        </w:rPr>
        <w:t>suitable</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in</w:t>
      </w:r>
      <w:r w:rsidRPr="00873B4D">
        <w:rPr>
          <w:rFonts w:ascii="Times New Roman" w:eastAsia="Calibri" w:hAnsi="Times New Roman" w:cs="Times New Roman"/>
          <w:sz w:val="24"/>
          <w:szCs w:val="24"/>
          <w:lang w:val="en-GB"/>
        </w:rPr>
        <w:t xml:space="preserve"> the presence of significant panel data structure </w:t>
      </w:r>
      <w:r w:rsidR="00F3370E" w:rsidRPr="007A6E4B">
        <w:rPr>
          <w:rFonts w:ascii="Times New Roman" w:hAnsi="Times New Roman" w:cs="Times New Roman"/>
          <w:sz w:val="24"/>
          <w:lang w:val="en-US"/>
        </w:rPr>
        <w:t>(Beck and Katz, 1995)</w:t>
      </w:r>
      <w:r w:rsidRPr="00873B4D">
        <w:rPr>
          <w:rFonts w:ascii="Times New Roman" w:eastAsia="Calibri" w:hAnsi="Times New Roman" w:cs="Times New Roman"/>
          <w:sz w:val="24"/>
          <w:szCs w:val="24"/>
          <w:lang w:val="en-GB"/>
        </w:rPr>
        <w:t xml:space="preserve">. In our case, the </w:t>
      </w:r>
      <w:r w:rsidR="003666EC">
        <w:rPr>
          <w:rFonts w:ascii="Times New Roman" w:eastAsia="Calibri" w:hAnsi="Times New Roman" w:cs="Times New Roman"/>
          <w:sz w:val="24"/>
          <w:szCs w:val="24"/>
          <w:lang w:val="en-GB"/>
        </w:rPr>
        <w:t>Breusch-</w:t>
      </w:r>
      <w:r w:rsidRPr="00873B4D">
        <w:rPr>
          <w:rFonts w:ascii="Times New Roman" w:eastAsia="Calibri" w:hAnsi="Times New Roman" w:cs="Times New Roman"/>
          <w:sz w:val="24"/>
          <w:szCs w:val="24"/>
          <w:lang w:val="en-GB"/>
        </w:rPr>
        <w:t>Pagan Lagrange multiplier test reject</w:t>
      </w:r>
      <w:r>
        <w:rPr>
          <w:rFonts w:ascii="Times New Roman" w:eastAsia="Calibri" w:hAnsi="Times New Roman" w:cs="Times New Roman"/>
          <w:sz w:val="24"/>
          <w:szCs w:val="24"/>
          <w:lang w:val="en-GB"/>
        </w:rPr>
        <w:t>ed</w:t>
      </w:r>
      <w:r w:rsidRPr="00873B4D">
        <w:rPr>
          <w:rFonts w:ascii="Times New Roman" w:eastAsia="Calibri" w:hAnsi="Times New Roman" w:cs="Times New Roman"/>
          <w:sz w:val="24"/>
          <w:szCs w:val="24"/>
          <w:lang w:val="en-GB"/>
        </w:rPr>
        <w:t xml:space="preserve"> the null hypothesis that the variances across units-interfirm </w:t>
      </w:r>
      <w:r>
        <w:rPr>
          <w:rFonts w:ascii="Times New Roman" w:eastAsia="Calibri" w:hAnsi="Times New Roman" w:cs="Times New Roman"/>
          <w:sz w:val="24"/>
          <w:szCs w:val="24"/>
          <w:lang w:val="en-GB"/>
        </w:rPr>
        <w:t>were</w:t>
      </w:r>
      <w:r w:rsidRPr="00873B4D">
        <w:rPr>
          <w:rFonts w:ascii="Times New Roman" w:eastAsia="Calibri" w:hAnsi="Times New Roman" w:cs="Times New Roman"/>
          <w:sz w:val="24"/>
          <w:szCs w:val="24"/>
          <w:lang w:val="en-GB"/>
        </w:rPr>
        <w:t xml:space="preserve"> zero, which means that the panel regression formulation should be used to empirically test the proposed hypotheses instead of </w:t>
      </w:r>
      <w:r w:rsidR="00D52F25">
        <w:rPr>
          <w:rFonts w:ascii="Times New Roman" w:eastAsia="Calibri" w:hAnsi="Times New Roman" w:cs="Times New Roman"/>
          <w:sz w:val="24"/>
          <w:szCs w:val="24"/>
          <w:lang w:val="en-GB"/>
        </w:rPr>
        <w:t xml:space="preserve">the </w:t>
      </w:r>
      <w:r w:rsidRPr="00873B4D">
        <w:rPr>
          <w:rFonts w:ascii="Times New Roman" w:eastAsia="Calibri" w:hAnsi="Times New Roman" w:cs="Times New Roman"/>
          <w:sz w:val="24"/>
          <w:szCs w:val="24"/>
          <w:lang w:val="en-GB"/>
        </w:rPr>
        <w:t>pooled regression. Secondly, the fixed</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effects specification provides unbiased and consistent estimates of parameters when the correlation between the regressors and error is not equal to zero. </w:t>
      </w:r>
      <w:r>
        <w:rPr>
          <w:rFonts w:ascii="Times New Roman" w:eastAsia="Calibri" w:hAnsi="Times New Roman" w:cs="Times New Roman"/>
          <w:sz w:val="24"/>
          <w:szCs w:val="24"/>
          <w:lang w:val="en-GB"/>
        </w:rPr>
        <w:t xml:space="preserve">In all performed </w:t>
      </w:r>
      <w:proofErr w:type="spellStart"/>
      <w:r>
        <w:rPr>
          <w:rFonts w:ascii="Times New Roman" w:eastAsia="Calibri" w:hAnsi="Times New Roman" w:cs="Times New Roman"/>
          <w:sz w:val="24"/>
          <w:szCs w:val="24"/>
          <w:lang w:val="en-GB"/>
        </w:rPr>
        <w:t>modeli</w:t>
      </w:r>
      <w:r w:rsidR="00A9304E">
        <w:rPr>
          <w:rFonts w:ascii="Times New Roman" w:eastAsia="Calibri" w:hAnsi="Times New Roman" w:cs="Times New Roman"/>
          <w:sz w:val="24"/>
          <w:szCs w:val="24"/>
          <w:lang w:val="en-GB"/>
        </w:rPr>
        <w:t>z</w:t>
      </w:r>
      <w:r>
        <w:rPr>
          <w:rFonts w:ascii="Times New Roman" w:eastAsia="Calibri" w:hAnsi="Times New Roman" w:cs="Times New Roman"/>
          <w:sz w:val="24"/>
          <w:szCs w:val="24"/>
          <w:lang w:val="en-GB"/>
        </w:rPr>
        <w:t>ations</w:t>
      </w:r>
      <w:proofErr w:type="spellEnd"/>
      <w:r>
        <w:rPr>
          <w:rFonts w:ascii="Times New Roman" w:eastAsia="Calibri" w:hAnsi="Times New Roman" w:cs="Times New Roman"/>
          <w:sz w:val="24"/>
          <w:szCs w:val="24"/>
          <w:lang w:val="en-GB"/>
        </w:rPr>
        <w:t xml:space="preserve">, the Hausman test </w:t>
      </w:r>
      <w:r w:rsidRPr="00873B4D">
        <w:rPr>
          <w:rFonts w:ascii="Times New Roman" w:eastAsia="Calibri" w:hAnsi="Times New Roman" w:cs="Times New Roman"/>
          <w:sz w:val="24"/>
          <w:szCs w:val="24"/>
          <w:lang w:val="en-GB"/>
        </w:rPr>
        <w:t>reject</w:t>
      </w:r>
      <w:r>
        <w:rPr>
          <w:rFonts w:ascii="Times New Roman" w:eastAsia="Calibri" w:hAnsi="Times New Roman" w:cs="Times New Roman"/>
          <w:sz w:val="24"/>
          <w:szCs w:val="24"/>
          <w:lang w:val="en-GB"/>
        </w:rPr>
        <w:t>ed</w:t>
      </w:r>
      <w:r w:rsidRPr="00873B4D">
        <w:rPr>
          <w:rFonts w:ascii="Times New Roman" w:eastAsia="Calibri" w:hAnsi="Times New Roman" w:cs="Times New Roman"/>
          <w:sz w:val="24"/>
          <w:szCs w:val="24"/>
          <w:lang w:val="en-GB"/>
        </w:rPr>
        <w:t xml:space="preserve"> the null hypothesis that the errors </w:t>
      </w:r>
      <w:r>
        <w:rPr>
          <w:rFonts w:ascii="Times New Roman" w:eastAsia="Calibri" w:hAnsi="Times New Roman" w:cs="Times New Roman"/>
          <w:sz w:val="24"/>
          <w:szCs w:val="24"/>
          <w:lang w:val="en-GB"/>
        </w:rPr>
        <w:t>were</w:t>
      </w:r>
      <w:r w:rsidRPr="00873B4D">
        <w:rPr>
          <w:rFonts w:ascii="Times New Roman" w:eastAsia="Calibri" w:hAnsi="Times New Roman" w:cs="Times New Roman"/>
          <w:sz w:val="24"/>
          <w:szCs w:val="24"/>
          <w:lang w:val="en-GB"/>
        </w:rPr>
        <w:t xml:space="preserve"> uncorrelated with regressors, </w:t>
      </w:r>
      <w:r>
        <w:rPr>
          <w:rFonts w:ascii="Times New Roman" w:eastAsia="Calibri" w:hAnsi="Times New Roman" w:cs="Times New Roman"/>
          <w:sz w:val="24"/>
          <w:szCs w:val="24"/>
          <w:lang w:val="en-GB"/>
        </w:rPr>
        <w:t>with the random effects being</w:t>
      </w:r>
      <w:r w:rsidRPr="00873B4D">
        <w:rPr>
          <w:rFonts w:ascii="Times New Roman" w:eastAsia="Calibri" w:hAnsi="Times New Roman" w:cs="Times New Roman"/>
          <w:sz w:val="24"/>
          <w:szCs w:val="24"/>
          <w:lang w:val="en-GB"/>
        </w:rPr>
        <w:t xml:space="preserve"> inappropriate to obtain consistent coefficients</w:t>
      </w:r>
      <w:r>
        <w:rPr>
          <w:rFonts w:ascii="Times New Roman" w:eastAsia="Calibri" w:hAnsi="Times New Roman" w:cs="Times New Roman"/>
          <w:sz w:val="24"/>
          <w:szCs w:val="24"/>
          <w:lang w:val="en-GB"/>
        </w:rPr>
        <w:t>; this</w:t>
      </w:r>
      <w:r w:rsidRPr="00873B4D">
        <w:rPr>
          <w:rFonts w:ascii="Times New Roman" w:eastAsia="Calibri" w:hAnsi="Times New Roman" w:cs="Times New Roman"/>
          <w:sz w:val="24"/>
          <w:szCs w:val="24"/>
          <w:lang w:val="en-GB"/>
        </w:rPr>
        <w:t xml:space="preserve"> suggest</w:t>
      </w:r>
      <w:r>
        <w:rPr>
          <w:rFonts w:ascii="Times New Roman" w:eastAsia="Calibri" w:hAnsi="Times New Roman" w:cs="Times New Roman"/>
          <w:sz w:val="24"/>
          <w:szCs w:val="24"/>
          <w:lang w:val="en-GB"/>
        </w:rPr>
        <w:t>s the need</w:t>
      </w:r>
      <w:r w:rsidRPr="00873B4D">
        <w:rPr>
          <w:rFonts w:ascii="Times New Roman" w:eastAsia="Calibri" w:hAnsi="Times New Roman" w:cs="Times New Roman"/>
          <w:sz w:val="24"/>
          <w:szCs w:val="24"/>
          <w:lang w:val="en-GB"/>
        </w:rPr>
        <w:t xml:space="preserve"> to </w:t>
      </w:r>
      <w:r w:rsidR="003666EC" w:rsidRPr="00873B4D">
        <w:rPr>
          <w:rFonts w:ascii="Times New Roman" w:eastAsia="Calibri" w:hAnsi="Times New Roman" w:cs="Times New Roman"/>
          <w:sz w:val="24"/>
          <w:szCs w:val="24"/>
          <w:lang w:val="en-GB"/>
        </w:rPr>
        <w:t>utili</w:t>
      </w:r>
      <w:r w:rsidR="003666EC">
        <w:rPr>
          <w:rFonts w:ascii="Times New Roman" w:eastAsia="Calibri" w:hAnsi="Times New Roman" w:cs="Times New Roman"/>
          <w:sz w:val="24"/>
          <w:szCs w:val="24"/>
          <w:lang w:val="en-GB"/>
        </w:rPr>
        <w:t>z</w:t>
      </w:r>
      <w:r w:rsidR="003666EC" w:rsidRPr="00873B4D">
        <w:rPr>
          <w:rFonts w:ascii="Times New Roman" w:eastAsia="Calibri" w:hAnsi="Times New Roman" w:cs="Times New Roman"/>
          <w:sz w:val="24"/>
          <w:szCs w:val="24"/>
          <w:lang w:val="en-GB"/>
        </w:rPr>
        <w:t xml:space="preserve">e </w:t>
      </w:r>
      <w:r w:rsidRPr="00873B4D">
        <w:rPr>
          <w:rFonts w:ascii="Times New Roman" w:eastAsia="Calibri" w:hAnsi="Times New Roman" w:cs="Times New Roman"/>
          <w:sz w:val="24"/>
          <w:szCs w:val="24"/>
          <w:lang w:val="en-GB"/>
        </w:rPr>
        <w:t>the fixed</w:t>
      </w:r>
      <w:r>
        <w:rPr>
          <w:rFonts w:ascii="Times New Roman" w:eastAsia="Calibri" w:hAnsi="Times New Roman" w:cs="Times New Roman"/>
          <w:sz w:val="24"/>
          <w:szCs w:val="24"/>
          <w:lang w:val="en-GB"/>
        </w:rPr>
        <w:t>-effects regression method</w:t>
      </w:r>
      <w:r w:rsidRPr="00873B4D">
        <w:rPr>
          <w:rFonts w:ascii="Times New Roman" w:eastAsia="Calibri" w:hAnsi="Times New Roman" w:cs="Times New Roman"/>
          <w:sz w:val="24"/>
          <w:szCs w:val="24"/>
          <w:lang w:val="en-GB"/>
        </w:rPr>
        <w:t xml:space="preserve">. Lastly, estimated standard errors can be biased </w:t>
      </w:r>
      <w:r>
        <w:rPr>
          <w:rFonts w:ascii="Times New Roman" w:eastAsia="Calibri" w:hAnsi="Times New Roman" w:cs="Times New Roman"/>
          <w:sz w:val="24"/>
          <w:szCs w:val="24"/>
          <w:lang w:val="en-GB"/>
        </w:rPr>
        <w:t>in</w:t>
      </w:r>
      <w:r w:rsidRPr="00873B4D">
        <w:rPr>
          <w:rFonts w:ascii="Times New Roman" w:eastAsia="Calibri" w:hAnsi="Times New Roman" w:cs="Times New Roman"/>
          <w:sz w:val="24"/>
          <w:szCs w:val="24"/>
          <w:lang w:val="en-GB"/>
        </w:rPr>
        <w:t xml:space="preserve"> the presence of non-constant variance for all units-interfirm. To test for homoscedasticity, we used the Modified Wald test for </w:t>
      </w:r>
      <w:proofErr w:type="spellStart"/>
      <w:r w:rsidRPr="00873B4D">
        <w:rPr>
          <w:rFonts w:ascii="Times New Roman" w:eastAsia="Calibri" w:hAnsi="Times New Roman" w:cs="Times New Roman"/>
          <w:sz w:val="24"/>
          <w:szCs w:val="24"/>
          <w:lang w:val="en-GB"/>
        </w:rPr>
        <w:t>groupwise</w:t>
      </w:r>
      <w:proofErr w:type="spellEnd"/>
      <w:r w:rsidRPr="00873B4D">
        <w:rPr>
          <w:rFonts w:ascii="Times New Roman" w:eastAsia="Calibri" w:hAnsi="Times New Roman" w:cs="Times New Roman"/>
          <w:sz w:val="24"/>
          <w:szCs w:val="24"/>
          <w:lang w:val="en-GB"/>
        </w:rPr>
        <w:t xml:space="preserve"> </w:t>
      </w:r>
      <w:r w:rsidR="003666EC" w:rsidRPr="00873B4D">
        <w:rPr>
          <w:rFonts w:ascii="Times New Roman" w:eastAsia="Calibri" w:hAnsi="Times New Roman" w:cs="Times New Roman"/>
          <w:sz w:val="24"/>
          <w:szCs w:val="24"/>
          <w:lang w:val="en-GB"/>
        </w:rPr>
        <w:t>heteros</w:t>
      </w:r>
      <w:r w:rsidR="003666EC">
        <w:rPr>
          <w:rFonts w:ascii="Times New Roman" w:eastAsia="Calibri" w:hAnsi="Times New Roman" w:cs="Times New Roman"/>
          <w:sz w:val="24"/>
          <w:szCs w:val="24"/>
          <w:lang w:val="en-GB"/>
        </w:rPr>
        <w:t>c</w:t>
      </w:r>
      <w:r w:rsidR="003666EC" w:rsidRPr="00873B4D">
        <w:rPr>
          <w:rFonts w:ascii="Times New Roman" w:eastAsia="Calibri" w:hAnsi="Times New Roman" w:cs="Times New Roman"/>
          <w:sz w:val="24"/>
          <w:szCs w:val="24"/>
          <w:lang w:val="en-GB"/>
        </w:rPr>
        <w:t xml:space="preserve">edasticity </w:t>
      </w:r>
      <w:r w:rsidRPr="00873B4D">
        <w:rPr>
          <w:rFonts w:ascii="Times New Roman" w:eastAsia="Calibri" w:hAnsi="Times New Roman" w:cs="Times New Roman"/>
          <w:sz w:val="24"/>
          <w:szCs w:val="24"/>
          <w:lang w:val="en-GB"/>
        </w:rPr>
        <w:t xml:space="preserve">in </w:t>
      </w:r>
      <w:r>
        <w:rPr>
          <w:rFonts w:ascii="Times New Roman" w:eastAsia="Calibri" w:hAnsi="Times New Roman" w:cs="Times New Roman"/>
          <w:sz w:val="24"/>
          <w:szCs w:val="24"/>
          <w:lang w:val="en-GB"/>
        </w:rPr>
        <w:t xml:space="preserve">the </w:t>
      </w:r>
      <w:r w:rsidRPr="00873B4D">
        <w:rPr>
          <w:rFonts w:ascii="Times New Roman" w:eastAsia="Calibri" w:hAnsi="Times New Roman" w:cs="Times New Roman"/>
          <w:sz w:val="24"/>
          <w:szCs w:val="24"/>
          <w:lang w:val="en-GB"/>
        </w:rPr>
        <w:t>fixed effect model. It reject</w:t>
      </w:r>
      <w:r>
        <w:rPr>
          <w:rFonts w:ascii="Times New Roman" w:eastAsia="Calibri" w:hAnsi="Times New Roman" w:cs="Times New Roman"/>
          <w:sz w:val="24"/>
          <w:szCs w:val="24"/>
          <w:lang w:val="en-GB"/>
        </w:rPr>
        <w:t>ed</w:t>
      </w:r>
      <w:r w:rsidRPr="00873B4D">
        <w:rPr>
          <w:rFonts w:ascii="Times New Roman" w:eastAsia="Calibri" w:hAnsi="Times New Roman" w:cs="Times New Roman"/>
          <w:sz w:val="24"/>
          <w:szCs w:val="24"/>
          <w:lang w:val="en-GB"/>
        </w:rPr>
        <w:t xml:space="preserve"> the null hypothesis, meaning the robust standard errors option should be introduced to control for the presence of significant heteroscedasticity in our sample.</w:t>
      </w:r>
    </w:p>
    <w:p w14:paraId="2E2A6DCE" w14:textId="2CC342EA" w:rsidR="000F768E" w:rsidRDefault="000F768E" w:rsidP="0091010D">
      <w:pPr>
        <w:spacing w:line="480" w:lineRule="auto"/>
        <w:jc w:val="both"/>
        <w:rPr>
          <w:rFonts w:ascii="Times New Roman" w:eastAsia="Calibri" w:hAnsi="Times New Roman" w:cs="Times New Roman"/>
          <w:sz w:val="24"/>
          <w:szCs w:val="24"/>
          <w:lang w:val="en-GB"/>
        </w:rPr>
      </w:pPr>
    </w:p>
    <w:p w14:paraId="11AEA3F3" w14:textId="656CA6F3" w:rsidR="00B1276C" w:rsidRPr="00AE0C1B" w:rsidRDefault="00B1276C" w:rsidP="00B1276C">
      <w:pPr>
        <w:spacing w:line="480" w:lineRule="auto"/>
        <w:jc w:val="both"/>
        <w:rPr>
          <w:rFonts w:ascii="Times New Roman" w:eastAsia="Calibri" w:hAnsi="Times New Roman" w:cs="Times New Roman"/>
          <w:b/>
          <w:sz w:val="26"/>
          <w:szCs w:val="26"/>
          <w:lang w:val="en-GB"/>
        </w:rPr>
      </w:pPr>
      <w:r>
        <w:rPr>
          <w:rFonts w:ascii="Times New Roman" w:eastAsia="Calibri" w:hAnsi="Times New Roman" w:cs="Times New Roman"/>
          <w:b/>
          <w:sz w:val="26"/>
          <w:szCs w:val="26"/>
          <w:lang w:val="en-GB"/>
        </w:rPr>
        <w:t>4</w:t>
      </w:r>
      <w:r w:rsidRPr="00AE0C1B">
        <w:rPr>
          <w:rFonts w:ascii="Times New Roman" w:eastAsia="Calibri" w:hAnsi="Times New Roman" w:cs="Times New Roman"/>
          <w:b/>
          <w:sz w:val="26"/>
          <w:szCs w:val="26"/>
          <w:lang w:val="en-GB"/>
        </w:rPr>
        <w:t xml:space="preserve">. </w:t>
      </w:r>
      <w:r>
        <w:rPr>
          <w:rFonts w:ascii="Times New Roman" w:eastAsia="Calibri" w:hAnsi="Times New Roman" w:cs="Times New Roman"/>
          <w:b/>
          <w:sz w:val="26"/>
          <w:szCs w:val="26"/>
          <w:lang w:val="en-GB"/>
        </w:rPr>
        <w:t>R</w:t>
      </w:r>
      <w:r w:rsidR="00D1660C">
        <w:rPr>
          <w:rFonts w:ascii="Times New Roman" w:eastAsia="Calibri" w:hAnsi="Times New Roman" w:cs="Times New Roman"/>
          <w:b/>
          <w:sz w:val="26"/>
          <w:szCs w:val="26"/>
          <w:lang w:val="en-GB"/>
        </w:rPr>
        <w:t>esults</w:t>
      </w:r>
    </w:p>
    <w:p w14:paraId="73D46708" w14:textId="4B8ECDFD" w:rsidR="00B1276C" w:rsidRDefault="00B1276C" w:rsidP="00B1276C">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T</w:t>
      </w:r>
      <w:r w:rsidRPr="00873B4D">
        <w:rPr>
          <w:rFonts w:ascii="Times New Roman" w:eastAsia="Calibri" w:hAnsi="Times New Roman" w:cs="Times New Roman"/>
          <w:sz w:val="24"/>
          <w:szCs w:val="24"/>
          <w:lang w:val="en-GB"/>
        </w:rPr>
        <w:t xml:space="preserve">able </w:t>
      </w:r>
      <w:r>
        <w:rPr>
          <w:rFonts w:ascii="Times New Roman" w:eastAsia="Calibri" w:hAnsi="Times New Roman" w:cs="Times New Roman"/>
          <w:sz w:val="24"/>
          <w:szCs w:val="24"/>
          <w:lang w:val="en-GB"/>
        </w:rPr>
        <w:t>2</w:t>
      </w:r>
      <w:r w:rsidRPr="00873B4D" w:rsidDel="009635A2">
        <w:rPr>
          <w:rFonts w:ascii="Times New Roman" w:eastAsia="Calibri" w:hAnsi="Times New Roman" w:cs="Times New Roman"/>
          <w:sz w:val="24"/>
          <w:szCs w:val="24"/>
          <w:lang w:val="en-GB"/>
        </w:rPr>
        <w:t xml:space="preserve"> </w:t>
      </w:r>
      <w:r w:rsidR="00444F08">
        <w:rPr>
          <w:rFonts w:ascii="Times New Roman" w:eastAsia="Calibri" w:hAnsi="Times New Roman" w:cs="Times New Roman"/>
          <w:sz w:val="24"/>
          <w:szCs w:val="24"/>
          <w:lang w:val="en-GB"/>
        </w:rPr>
        <w:t>presents</w:t>
      </w:r>
      <w:r w:rsidRPr="00873B4D">
        <w:rPr>
          <w:rFonts w:ascii="Times New Roman" w:eastAsia="Calibri" w:hAnsi="Times New Roman" w:cs="Times New Roman"/>
          <w:sz w:val="24"/>
          <w:szCs w:val="24"/>
          <w:lang w:val="en-GB"/>
        </w:rPr>
        <w:t xml:space="preserve"> the descriptive statistics </w:t>
      </w:r>
      <w:r>
        <w:rPr>
          <w:rFonts w:ascii="Times New Roman" w:eastAsia="Calibri" w:hAnsi="Times New Roman" w:cs="Times New Roman"/>
          <w:sz w:val="24"/>
          <w:szCs w:val="24"/>
          <w:lang w:val="en-GB"/>
        </w:rPr>
        <w:t xml:space="preserve">and correlations matrix </w:t>
      </w:r>
      <w:r w:rsidR="00444F08">
        <w:rPr>
          <w:rFonts w:ascii="Times New Roman" w:eastAsia="Calibri" w:hAnsi="Times New Roman" w:cs="Times New Roman"/>
          <w:sz w:val="24"/>
          <w:szCs w:val="24"/>
          <w:lang w:val="en-GB"/>
        </w:rPr>
        <w:t>fo</w:t>
      </w:r>
      <w:r w:rsidRPr="00873B4D">
        <w:rPr>
          <w:rFonts w:ascii="Times New Roman" w:eastAsia="Calibri" w:hAnsi="Times New Roman" w:cs="Times New Roman"/>
          <w:sz w:val="24"/>
          <w:szCs w:val="24"/>
          <w:lang w:val="en-GB"/>
        </w:rPr>
        <w:t>r the variables</w:t>
      </w:r>
      <w:r>
        <w:rPr>
          <w:rFonts w:ascii="Times New Roman" w:eastAsia="Calibri" w:hAnsi="Times New Roman" w:cs="Times New Roman"/>
          <w:sz w:val="24"/>
          <w:szCs w:val="24"/>
          <w:lang w:val="en-GB"/>
        </w:rPr>
        <w:t xml:space="preserve"> used in the analysis</w:t>
      </w:r>
      <w:r w:rsidRPr="00873B4D">
        <w:rPr>
          <w:rFonts w:ascii="Times New Roman" w:eastAsia="Calibri" w:hAnsi="Times New Roman" w:cs="Times New Roman"/>
          <w:sz w:val="24"/>
          <w:szCs w:val="24"/>
          <w:lang w:val="en-GB"/>
        </w:rPr>
        <w:t>. The sustainability asymmetries in the different areas exhibit</w:t>
      </w:r>
      <w:r w:rsidR="00282DC3">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on average</w:t>
      </w:r>
      <w:r w:rsidR="00282DC3">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 xml:space="preserve">superior levels for the buying firms than for </w:t>
      </w:r>
      <w:r>
        <w:rPr>
          <w:rFonts w:ascii="Times New Roman" w:eastAsia="Calibri" w:hAnsi="Times New Roman" w:cs="Times New Roman"/>
          <w:sz w:val="24"/>
          <w:szCs w:val="24"/>
          <w:lang w:val="en-GB"/>
        </w:rPr>
        <w:t xml:space="preserve">the top </w:t>
      </w:r>
      <w:r w:rsidRPr="00873B4D">
        <w:rPr>
          <w:rFonts w:ascii="Times New Roman" w:eastAsia="Calibri" w:hAnsi="Times New Roman" w:cs="Times New Roman"/>
          <w:sz w:val="24"/>
          <w:szCs w:val="24"/>
          <w:lang w:val="en-GB"/>
        </w:rPr>
        <w:t xml:space="preserve">suppliers. However, it also reveals the presence of cases where suppliers are ahead in some of the sustainability areas, </w:t>
      </w:r>
      <w:r>
        <w:rPr>
          <w:rFonts w:ascii="Times New Roman" w:eastAsia="Calibri" w:hAnsi="Times New Roman" w:cs="Times New Roman"/>
          <w:sz w:val="24"/>
          <w:szCs w:val="24"/>
          <w:lang w:val="en-GB"/>
        </w:rPr>
        <w:t xml:space="preserve">with both </w:t>
      </w:r>
      <w:r w:rsidRPr="00873B4D">
        <w:rPr>
          <w:rFonts w:ascii="Times New Roman" w:eastAsia="Calibri" w:hAnsi="Times New Roman" w:cs="Times New Roman"/>
          <w:sz w:val="24"/>
          <w:szCs w:val="24"/>
          <w:lang w:val="en-GB"/>
        </w:rPr>
        <w:t>sustainability approaches</w:t>
      </w:r>
      <w:r>
        <w:rPr>
          <w:rFonts w:ascii="Times New Roman" w:eastAsia="Calibri" w:hAnsi="Times New Roman" w:cs="Times New Roman"/>
          <w:sz w:val="24"/>
          <w:szCs w:val="24"/>
          <w:lang w:val="en-GB"/>
        </w:rPr>
        <w:t xml:space="preserve"> present (</w:t>
      </w:r>
      <w:r w:rsidR="00282DC3">
        <w:rPr>
          <w:rFonts w:ascii="Times New Roman" w:eastAsia="Calibri" w:hAnsi="Times New Roman" w:cs="Times New Roman"/>
          <w:sz w:val="24"/>
          <w:szCs w:val="24"/>
          <w:lang w:val="en-GB"/>
        </w:rPr>
        <w:t>i.e.,</w:t>
      </w:r>
      <w:r>
        <w:rPr>
          <w:rFonts w:ascii="Times New Roman" w:eastAsia="Calibri" w:hAnsi="Times New Roman" w:cs="Times New Roman"/>
          <w:sz w:val="24"/>
          <w:szCs w:val="24"/>
          <w:lang w:val="en-GB"/>
        </w:rPr>
        <w:t xml:space="preserve"> buyers leading and suppliers leading sustainability)</w:t>
      </w:r>
      <w:r w:rsidRPr="00873B4D">
        <w:rPr>
          <w:rFonts w:ascii="Times New Roman" w:eastAsia="Calibri" w:hAnsi="Times New Roman" w:cs="Times New Roman"/>
          <w:sz w:val="24"/>
          <w:szCs w:val="24"/>
          <w:lang w:val="en-GB"/>
        </w:rPr>
        <w:t xml:space="preserve">. </w:t>
      </w:r>
    </w:p>
    <w:p w14:paraId="3681A23B" w14:textId="77777777" w:rsidR="00B1276C" w:rsidRPr="00F06DCE" w:rsidRDefault="00B1276C" w:rsidP="00B1276C">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263982E2" w14:textId="77777777" w:rsidR="00B1276C" w:rsidRPr="00F06DCE" w:rsidRDefault="00B1276C" w:rsidP="00B1276C">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 xml:space="preserve">Insert </w:t>
      </w:r>
      <w:r>
        <w:rPr>
          <w:rFonts w:ascii="Times New Roman" w:hAnsi="Times New Roman" w:cs="Times New Roman"/>
          <w:sz w:val="24"/>
          <w:szCs w:val="24"/>
          <w:lang w:val="en-GB"/>
        </w:rPr>
        <w:t>Table</w:t>
      </w:r>
      <w:r w:rsidRPr="00F06DCE">
        <w:rPr>
          <w:rFonts w:ascii="Times New Roman" w:hAnsi="Times New Roman" w:cs="Times New Roman"/>
          <w:sz w:val="24"/>
          <w:szCs w:val="24"/>
          <w:lang w:val="en-GB"/>
        </w:rPr>
        <w:t xml:space="preserve"> </w:t>
      </w:r>
      <w:r>
        <w:rPr>
          <w:rFonts w:ascii="Times New Roman" w:hAnsi="Times New Roman" w:cs="Times New Roman"/>
          <w:sz w:val="24"/>
          <w:szCs w:val="24"/>
          <w:lang w:val="en-GB"/>
        </w:rPr>
        <w:t>2</w:t>
      </w:r>
      <w:r w:rsidRPr="00F06DCE">
        <w:rPr>
          <w:rFonts w:ascii="Times New Roman" w:hAnsi="Times New Roman" w:cs="Times New Roman"/>
          <w:sz w:val="24"/>
          <w:szCs w:val="24"/>
          <w:lang w:val="en-GB"/>
        </w:rPr>
        <w:t xml:space="preserve"> about here</w:t>
      </w:r>
    </w:p>
    <w:p w14:paraId="075EDC97" w14:textId="77777777" w:rsidR="00B1276C" w:rsidRPr="00F06DCE" w:rsidRDefault="00B1276C" w:rsidP="00B1276C">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2B6A8D42" w14:textId="15F54D29" w:rsidR="00B1276C" w:rsidRDefault="00B1276C">
      <w:pPr>
        <w:spacing w:line="480" w:lineRule="auto"/>
        <w:jc w:val="both"/>
        <w:rPr>
          <w:rFonts w:ascii="Times New Roman" w:eastAsia="Calibri" w:hAnsi="Times New Roman" w:cs="Times New Roman"/>
          <w:sz w:val="24"/>
          <w:szCs w:val="24"/>
          <w:lang w:val="en-GB"/>
        </w:rPr>
      </w:pPr>
      <w:r w:rsidRPr="00873B4D">
        <w:rPr>
          <w:rFonts w:ascii="Times New Roman" w:eastAsia="Calibri" w:hAnsi="Times New Roman" w:cs="Times New Roman"/>
          <w:sz w:val="24"/>
          <w:szCs w:val="24"/>
          <w:lang w:val="en-GB"/>
        </w:rPr>
        <w:t xml:space="preserve">Table </w:t>
      </w:r>
      <w:r>
        <w:rPr>
          <w:rFonts w:ascii="Times New Roman" w:eastAsia="Calibri" w:hAnsi="Times New Roman" w:cs="Times New Roman"/>
          <w:sz w:val="24"/>
          <w:szCs w:val="24"/>
          <w:lang w:val="en-GB"/>
        </w:rPr>
        <w:t>3</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shows</w:t>
      </w:r>
      <w:r w:rsidRPr="00873B4D">
        <w:rPr>
          <w:rFonts w:ascii="Times New Roman" w:eastAsia="Calibri" w:hAnsi="Times New Roman" w:cs="Times New Roman"/>
          <w:sz w:val="24"/>
          <w:szCs w:val="24"/>
          <w:lang w:val="en-GB"/>
        </w:rPr>
        <w:t xml:space="preserve"> the results of the fixed</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effects regression </w:t>
      </w:r>
      <w:r>
        <w:rPr>
          <w:rFonts w:ascii="Times New Roman" w:eastAsia="Calibri" w:hAnsi="Times New Roman" w:cs="Times New Roman"/>
          <w:sz w:val="24"/>
          <w:szCs w:val="24"/>
          <w:lang w:val="en-GB"/>
        </w:rPr>
        <w:t>anal</w:t>
      </w:r>
      <w:r w:rsidR="00690BA9">
        <w:rPr>
          <w:rFonts w:ascii="Times New Roman" w:eastAsia="Calibri" w:hAnsi="Times New Roman" w:cs="Times New Roman"/>
          <w:sz w:val="24"/>
          <w:szCs w:val="24"/>
          <w:lang w:val="en-GB"/>
        </w:rPr>
        <w:t>ysis</w:t>
      </w:r>
      <w:r>
        <w:rPr>
          <w:rFonts w:ascii="Times New Roman" w:eastAsia="Calibri" w:hAnsi="Times New Roman" w:cs="Times New Roman"/>
          <w:sz w:val="24"/>
          <w:szCs w:val="24"/>
          <w:lang w:val="en-GB"/>
        </w:rPr>
        <w:t xml:space="preserve"> for the</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first group of sustainability </w:t>
      </w:r>
      <w:r w:rsidRPr="00873B4D">
        <w:rPr>
          <w:rFonts w:ascii="Times New Roman" w:eastAsia="Calibri" w:hAnsi="Times New Roman" w:cs="Times New Roman"/>
          <w:sz w:val="24"/>
          <w:szCs w:val="24"/>
          <w:lang w:val="en-GB"/>
        </w:rPr>
        <w:t>asymmetries</w:t>
      </w:r>
      <w:r w:rsidR="00690BA9">
        <w:rPr>
          <w:rFonts w:ascii="Times New Roman" w:eastAsia="Calibri" w:hAnsi="Times New Roman" w:cs="Times New Roman"/>
          <w:sz w:val="24"/>
          <w:szCs w:val="24"/>
          <w:lang w:val="en-GB"/>
        </w:rPr>
        <w:t>, calculated</w:t>
      </w:r>
      <w:r>
        <w:rPr>
          <w:rFonts w:ascii="Times New Roman" w:eastAsia="Calibri" w:hAnsi="Times New Roman" w:cs="Times New Roman"/>
          <w:sz w:val="24"/>
          <w:szCs w:val="24"/>
          <w:lang w:val="en-GB"/>
        </w:rPr>
        <w:t xml:space="preserve"> as the absolute value of the differences between buyer firms and top suppliers. In this case, we </w:t>
      </w:r>
      <w:r w:rsidR="00044723">
        <w:rPr>
          <w:rFonts w:ascii="Times New Roman" w:eastAsia="Calibri" w:hAnsi="Times New Roman" w:cs="Times New Roman"/>
          <w:sz w:val="24"/>
          <w:szCs w:val="24"/>
          <w:lang w:val="en-GB"/>
        </w:rPr>
        <w:t>examine</w:t>
      </w:r>
      <w:r w:rsidR="00282DC3">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the effects of </w:t>
      </w:r>
      <w:r w:rsidR="00383B0D">
        <w:rPr>
          <w:rFonts w:ascii="Times New Roman" w:eastAsia="Calibri" w:hAnsi="Times New Roman" w:cs="Times New Roman"/>
          <w:sz w:val="24"/>
          <w:szCs w:val="24"/>
          <w:lang w:val="en-GB"/>
        </w:rPr>
        <w:t>having</w:t>
      </w:r>
      <w:r>
        <w:rPr>
          <w:rFonts w:ascii="Times New Roman" w:eastAsia="Calibri" w:hAnsi="Times New Roman" w:cs="Times New Roman"/>
          <w:sz w:val="24"/>
          <w:szCs w:val="24"/>
          <w:lang w:val="en-GB"/>
        </w:rPr>
        <w:t xml:space="preserve"> </w:t>
      </w:r>
      <w:r w:rsidR="00D553C9">
        <w:rPr>
          <w:rFonts w:ascii="Times New Roman" w:eastAsia="Calibri" w:hAnsi="Times New Roman" w:cs="Times New Roman"/>
          <w:sz w:val="24"/>
          <w:szCs w:val="24"/>
          <w:lang w:val="en-GB"/>
        </w:rPr>
        <w:t>un</w:t>
      </w:r>
      <w:r>
        <w:rPr>
          <w:rFonts w:ascii="Times New Roman" w:eastAsia="Calibri" w:hAnsi="Times New Roman" w:cs="Times New Roman"/>
          <w:sz w:val="24"/>
          <w:szCs w:val="24"/>
          <w:lang w:val="en-GB"/>
        </w:rPr>
        <w:t xml:space="preserve">balanced </w:t>
      </w:r>
      <w:r w:rsidR="00383B0D">
        <w:rPr>
          <w:rFonts w:ascii="Times New Roman" w:eastAsia="Calibri" w:hAnsi="Times New Roman" w:cs="Times New Roman"/>
          <w:sz w:val="24"/>
          <w:szCs w:val="24"/>
          <w:lang w:val="en-GB"/>
        </w:rPr>
        <w:t>development</w:t>
      </w:r>
      <w:r w:rsidR="00D553C9">
        <w:rPr>
          <w:rFonts w:ascii="Times New Roman" w:eastAsia="Calibri" w:hAnsi="Times New Roman" w:cs="Times New Roman"/>
          <w:sz w:val="24"/>
          <w:szCs w:val="24"/>
          <w:lang w:val="en-GB"/>
        </w:rPr>
        <w:t>s</w:t>
      </w:r>
      <w:r w:rsidR="00383B0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in the areas of environmental and social sustainability on</w:t>
      </w:r>
      <w:r w:rsidR="00044723">
        <w:rPr>
          <w:rFonts w:ascii="Times New Roman" w:eastAsia="Calibri" w:hAnsi="Times New Roman" w:cs="Times New Roman"/>
          <w:sz w:val="24"/>
          <w:szCs w:val="24"/>
          <w:lang w:val="en-GB"/>
        </w:rPr>
        <w:t xml:space="preserve"> </w:t>
      </w:r>
      <w:r w:rsidR="00690BA9">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buyer</w:t>
      </w:r>
      <w:r w:rsidR="00690BA9">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w:t>
      </w:r>
      <w:r w:rsidR="00DF4170">
        <w:rPr>
          <w:rFonts w:ascii="Times New Roman" w:eastAsia="Calibri" w:hAnsi="Times New Roman" w:cs="Times New Roman"/>
          <w:sz w:val="24"/>
          <w:szCs w:val="24"/>
          <w:lang w:val="en-GB"/>
        </w:rPr>
        <w:t xml:space="preserve">financial </w:t>
      </w:r>
      <w:r>
        <w:rPr>
          <w:rFonts w:ascii="Times New Roman" w:eastAsia="Calibri" w:hAnsi="Times New Roman" w:cs="Times New Roman"/>
          <w:sz w:val="24"/>
          <w:szCs w:val="24"/>
          <w:lang w:val="en-GB"/>
        </w:rPr>
        <w:t>p</w:t>
      </w:r>
      <w:r w:rsidR="004A2F2B">
        <w:rPr>
          <w:rFonts w:ascii="Times New Roman" w:eastAsia="Calibri" w:hAnsi="Times New Roman" w:cs="Times New Roman"/>
          <w:sz w:val="24"/>
          <w:szCs w:val="24"/>
          <w:lang w:val="en-GB"/>
        </w:rPr>
        <w:t>erformance</w:t>
      </w:r>
      <w:r w:rsidR="00044723">
        <w:rPr>
          <w:rFonts w:ascii="Times New Roman" w:eastAsia="Calibri" w:hAnsi="Times New Roman" w:cs="Times New Roman"/>
          <w:sz w:val="24"/>
          <w:szCs w:val="24"/>
          <w:lang w:val="en-GB"/>
        </w:rPr>
        <w:t xml:space="preserve"> (Model 1) and market performance (Model 2)</w:t>
      </w:r>
      <w:r w:rsidR="004A2F2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r w:rsidR="004A2F2B">
        <w:rPr>
          <w:rFonts w:ascii="Times New Roman" w:eastAsia="Calibri" w:hAnsi="Times New Roman" w:cs="Times New Roman"/>
          <w:sz w:val="24"/>
          <w:szCs w:val="24"/>
          <w:lang w:val="en-GB"/>
        </w:rPr>
        <w:t>T</w:t>
      </w:r>
      <w:r>
        <w:rPr>
          <w:rFonts w:ascii="Times New Roman" w:eastAsia="Calibri" w:hAnsi="Times New Roman" w:cs="Times New Roman"/>
          <w:sz w:val="24"/>
          <w:szCs w:val="24"/>
          <w:lang w:val="en-GB"/>
        </w:rPr>
        <w:t xml:space="preserve">he asymmetries associated with emission and resource reduction are both significant </w:t>
      </w:r>
      <w:r w:rsidR="004A2F2B">
        <w:rPr>
          <w:rFonts w:ascii="Times New Roman" w:eastAsia="Calibri" w:hAnsi="Times New Roman" w:cs="Times New Roman"/>
          <w:sz w:val="24"/>
          <w:szCs w:val="24"/>
          <w:lang w:val="en-GB"/>
        </w:rPr>
        <w:t xml:space="preserve">in </w:t>
      </w:r>
      <w:r w:rsidR="00282DC3">
        <w:rPr>
          <w:rFonts w:ascii="Times New Roman" w:eastAsia="Calibri" w:hAnsi="Times New Roman" w:cs="Times New Roman"/>
          <w:sz w:val="24"/>
          <w:szCs w:val="24"/>
          <w:lang w:val="en-GB"/>
        </w:rPr>
        <w:t xml:space="preserve">Model </w:t>
      </w:r>
      <w:r w:rsidR="004A2F2B">
        <w:rPr>
          <w:rFonts w:ascii="Times New Roman" w:eastAsia="Calibri" w:hAnsi="Times New Roman" w:cs="Times New Roman"/>
          <w:sz w:val="24"/>
          <w:szCs w:val="24"/>
          <w:lang w:val="en-GB"/>
        </w:rPr>
        <w:t xml:space="preserve">1 </w:t>
      </w:r>
      <w:r>
        <w:rPr>
          <w:rFonts w:ascii="Times New Roman" w:eastAsia="Calibri" w:hAnsi="Times New Roman" w:cs="Times New Roman"/>
          <w:sz w:val="24"/>
          <w:szCs w:val="24"/>
          <w:lang w:val="en-GB"/>
        </w:rPr>
        <w:t>(p &lt; 0.</w:t>
      </w:r>
      <w:r w:rsidR="004A2F2B">
        <w:rPr>
          <w:rFonts w:ascii="Times New Roman" w:eastAsia="Calibri" w:hAnsi="Times New Roman" w:cs="Times New Roman"/>
          <w:sz w:val="24"/>
          <w:szCs w:val="24"/>
          <w:lang w:val="en-GB"/>
        </w:rPr>
        <w:t>05</w:t>
      </w:r>
      <w:r>
        <w:rPr>
          <w:rFonts w:ascii="Times New Roman" w:eastAsia="Calibri" w:hAnsi="Times New Roman" w:cs="Times New Roman"/>
          <w:sz w:val="24"/>
          <w:szCs w:val="24"/>
          <w:lang w:val="en-GB"/>
        </w:rPr>
        <w:t xml:space="preserve"> and p &lt;0.1</w:t>
      </w:r>
      <w:r w:rsidR="004A2F2B">
        <w:rPr>
          <w:rFonts w:ascii="Times New Roman" w:eastAsia="Calibri" w:hAnsi="Times New Roman" w:cs="Times New Roman"/>
          <w:sz w:val="24"/>
          <w:szCs w:val="24"/>
          <w:lang w:val="en-GB"/>
        </w:rPr>
        <w:t>0</w:t>
      </w:r>
      <w:r>
        <w:rPr>
          <w:rFonts w:ascii="Times New Roman" w:eastAsia="Calibri" w:hAnsi="Times New Roman" w:cs="Times New Roman"/>
          <w:sz w:val="24"/>
          <w:szCs w:val="24"/>
          <w:lang w:val="en-GB"/>
        </w:rPr>
        <w:t xml:space="preserve">, respectively). However, </w:t>
      </w:r>
      <w:r w:rsidR="00B57B80">
        <w:rPr>
          <w:rFonts w:ascii="Times New Roman" w:eastAsia="Calibri" w:hAnsi="Times New Roman" w:cs="Times New Roman"/>
          <w:sz w:val="24"/>
          <w:szCs w:val="24"/>
          <w:lang w:val="en-GB"/>
        </w:rPr>
        <w:t xml:space="preserve">the sign of the effects is opposite. The results reveal that </w:t>
      </w:r>
      <w:r w:rsidR="00031321">
        <w:rPr>
          <w:rFonts w:ascii="Times New Roman" w:eastAsia="Calibri" w:hAnsi="Times New Roman" w:cs="Times New Roman"/>
          <w:sz w:val="24"/>
          <w:szCs w:val="24"/>
          <w:lang w:val="en-GB"/>
        </w:rPr>
        <w:t xml:space="preserve">the existence of a sustainability asymmetry </w:t>
      </w:r>
      <w:r w:rsidR="00B57B80">
        <w:rPr>
          <w:rFonts w:ascii="Times New Roman" w:eastAsia="Calibri" w:hAnsi="Times New Roman" w:cs="Times New Roman"/>
          <w:sz w:val="24"/>
          <w:szCs w:val="24"/>
          <w:lang w:val="en-GB"/>
        </w:rPr>
        <w:t>in the area of emissions reduction has a negative impact on ROA</w:t>
      </w:r>
      <w:r w:rsidR="00031321">
        <w:rPr>
          <w:rFonts w:ascii="Times New Roman" w:eastAsia="Calibri" w:hAnsi="Times New Roman" w:cs="Times New Roman"/>
          <w:sz w:val="24"/>
          <w:szCs w:val="24"/>
          <w:lang w:val="en-GB"/>
        </w:rPr>
        <w:t>.</w:t>
      </w:r>
      <w:r w:rsidR="004A454E">
        <w:rPr>
          <w:rFonts w:ascii="Times New Roman" w:eastAsia="Calibri" w:hAnsi="Times New Roman" w:cs="Times New Roman"/>
          <w:sz w:val="24"/>
          <w:szCs w:val="24"/>
          <w:lang w:val="en-GB"/>
        </w:rPr>
        <w:t xml:space="preserve"> </w:t>
      </w:r>
      <w:r w:rsidR="00B57B80">
        <w:rPr>
          <w:rFonts w:ascii="Times New Roman" w:eastAsia="Calibri" w:hAnsi="Times New Roman" w:cs="Times New Roman"/>
          <w:sz w:val="24"/>
          <w:szCs w:val="24"/>
          <w:lang w:val="en-GB"/>
        </w:rPr>
        <w:t>Conversely,</w:t>
      </w:r>
      <w:r w:rsidR="00901641">
        <w:rPr>
          <w:rFonts w:ascii="Times New Roman" w:eastAsia="Calibri" w:hAnsi="Times New Roman" w:cs="Times New Roman"/>
          <w:sz w:val="24"/>
          <w:szCs w:val="24"/>
          <w:lang w:val="en-GB"/>
        </w:rPr>
        <w:t xml:space="preserve"> asymmetry </w:t>
      </w:r>
      <w:r w:rsidR="002D1043">
        <w:rPr>
          <w:rFonts w:ascii="Times New Roman" w:eastAsia="Calibri" w:hAnsi="Times New Roman" w:cs="Times New Roman"/>
          <w:sz w:val="24"/>
          <w:szCs w:val="24"/>
          <w:lang w:val="en-GB"/>
        </w:rPr>
        <w:t xml:space="preserve">in the area of resource reduction </w:t>
      </w:r>
      <w:r w:rsidR="00B57B80">
        <w:rPr>
          <w:rFonts w:ascii="Times New Roman" w:eastAsia="Calibri" w:hAnsi="Times New Roman" w:cs="Times New Roman"/>
          <w:sz w:val="24"/>
          <w:szCs w:val="24"/>
          <w:lang w:val="en-GB"/>
        </w:rPr>
        <w:t>significantly increases ROA.</w:t>
      </w:r>
      <w:r w:rsidR="004A454E">
        <w:rPr>
          <w:rFonts w:ascii="Times New Roman" w:eastAsia="Calibri" w:hAnsi="Times New Roman" w:cs="Times New Roman"/>
          <w:sz w:val="24"/>
          <w:szCs w:val="24"/>
          <w:lang w:val="en-GB"/>
        </w:rPr>
        <w:t xml:space="preserve"> </w:t>
      </w:r>
      <w:r w:rsidR="00383B0D">
        <w:rPr>
          <w:rFonts w:ascii="Times New Roman" w:eastAsia="Calibri" w:hAnsi="Times New Roman" w:cs="Times New Roman"/>
          <w:sz w:val="24"/>
          <w:szCs w:val="24"/>
          <w:lang w:val="en-GB"/>
        </w:rPr>
        <w:t>In relation to</w:t>
      </w:r>
      <w:r w:rsidR="007E3969">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the</w:t>
      </w:r>
      <w:r>
        <w:rPr>
          <w:rFonts w:ascii="Times New Roman" w:eastAsia="Calibri" w:hAnsi="Times New Roman" w:cs="Times New Roman"/>
          <w:sz w:val="24"/>
          <w:szCs w:val="24"/>
          <w:lang w:val="en-GB"/>
        </w:rPr>
        <w:t xml:space="preserve"> social sustainability </w:t>
      </w:r>
      <w:r w:rsidR="00626855">
        <w:rPr>
          <w:rFonts w:ascii="Times New Roman" w:eastAsia="Calibri" w:hAnsi="Times New Roman" w:cs="Times New Roman"/>
          <w:sz w:val="24"/>
          <w:szCs w:val="24"/>
          <w:lang w:val="en-GB"/>
        </w:rPr>
        <w:t>dimension</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the </w:t>
      </w:r>
      <w:r w:rsidR="007E3969">
        <w:rPr>
          <w:rFonts w:ascii="Times New Roman" w:eastAsia="Calibri" w:hAnsi="Times New Roman" w:cs="Times New Roman"/>
          <w:sz w:val="24"/>
          <w:szCs w:val="24"/>
          <w:lang w:val="en-GB"/>
        </w:rPr>
        <w:t xml:space="preserve">existence </w:t>
      </w:r>
      <w:r w:rsidR="000F6124">
        <w:rPr>
          <w:rFonts w:ascii="Times New Roman" w:eastAsia="Calibri" w:hAnsi="Times New Roman" w:cs="Times New Roman"/>
          <w:sz w:val="24"/>
          <w:szCs w:val="24"/>
          <w:lang w:val="en-GB"/>
        </w:rPr>
        <w:t xml:space="preserve">of </w:t>
      </w:r>
      <w:r>
        <w:rPr>
          <w:rFonts w:ascii="Times New Roman" w:eastAsia="Calibri" w:hAnsi="Times New Roman" w:cs="Times New Roman"/>
          <w:sz w:val="24"/>
          <w:szCs w:val="24"/>
          <w:lang w:val="en-GB"/>
        </w:rPr>
        <w:t xml:space="preserve">asymmetries </w:t>
      </w:r>
      <w:r w:rsidR="000F6124">
        <w:rPr>
          <w:rFonts w:ascii="Times New Roman" w:eastAsia="Calibri" w:hAnsi="Times New Roman" w:cs="Times New Roman"/>
          <w:sz w:val="24"/>
          <w:szCs w:val="24"/>
          <w:lang w:val="en-GB"/>
        </w:rPr>
        <w:t xml:space="preserve">in the health and </w:t>
      </w:r>
      <w:r w:rsidR="000F6124" w:rsidRPr="002D1043">
        <w:rPr>
          <w:rFonts w:ascii="Times New Roman" w:eastAsia="Calibri" w:hAnsi="Times New Roman" w:cs="Times New Roman"/>
          <w:sz w:val="24"/>
          <w:szCs w:val="24"/>
          <w:lang w:val="en-GB"/>
        </w:rPr>
        <w:t>safety area positively impacts ROA</w:t>
      </w:r>
      <w:r w:rsidR="00383B0D" w:rsidRPr="002D1043">
        <w:rPr>
          <w:rFonts w:ascii="Times New Roman" w:eastAsia="Calibri" w:hAnsi="Times New Roman" w:cs="Times New Roman"/>
          <w:sz w:val="24"/>
          <w:szCs w:val="24"/>
          <w:lang w:val="en-GB"/>
        </w:rPr>
        <w:t xml:space="preserve">, while the </w:t>
      </w:r>
      <w:r w:rsidRPr="002D1043">
        <w:rPr>
          <w:rFonts w:ascii="Times New Roman" w:eastAsia="Calibri" w:hAnsi="Times New Roman" w:cs="Times New Roman"/>
          <w:sz w:val="24"/>
          <w:szCs w:val="24"/>
          <w:lang w:val="en-GB"/>
        </w:rPr>
        <w:t>human rights</w:t>
      </w:r>
      <w:r w:rsidR="007E3969" w:rsidRPr="002D1043">
        <w:rPr>
          <w:rFonts w:ascii="Times New Roman" w:eastAsia="Calibri" w:hAnsi="Times New Roman" w:cs="Times New Roman"/>
          <w:sz w:val="24"/>
          <w:szCs w:val="24"/>
          <w:lang w:val="en-GB"/>
        </w:rPr>
        <w:t xml:space="preserve"> area</w:t>
      </w:r>
      <w:r w:rsidR="00383B0D" w:rsidRPr="002D1043">
        <w:rPr>
          <w:rFonts w:ascii="Times New Roman" w:eastAsia="Calibri" w:hAnsi="Times New Roman" w:cs="Times New Roman"/>
          <w:sz w:val="24"/>
          <w:szCs w:val="24"/>
          <w:lang w:val="en-GB"/>
        </w:rPr>
        <w:t xml:space="preserve"> does not seem to affect </w:t>
      </w:r>
      <w:r w:rsidRPr="002D1043">
        <w:rPr>
          <w:rFonts w:ascii="Times New Roman" w:eastAsia="Calibri" w:hAnsi="Times New Roman" w:cs="Times New Roman"/>
          <w:sz w:val="24"/>
          <w:szCs w:val="24"/>
          <w:lang w:val="en-GB"/>
        </w:rPr>
        <w:t xml:space="preserve">buyer </w:t>
      </w:r>
      <w:r w:rsidR="000F6124" w:rsidRPr="002D1043">
        <w:rPr>
          <w:rFonts w:ascii="Times New Roman" w:eastAsia="Calibri" w:hAnsi="Times New Roman" w:cs="Times New Roman"/>
          <w:sz w:val="24"/>
          <w:szCs w:val="24"/>
          <w:lang w:val="en-GB"/>
        </w:rPr>
        <w:t xml:space="preserve">financial </w:t>
      </w:r>
      <w:r w:rsidRPr="002D1043">
        <w:rPr>
          <w:rFonts w:ascii="Times New Roman" w:eastAsia="Calibri" w:hAnsi="Times New Roman" w:cs="Times New Roman"/>
          <w:sz w:val="24"/>
          <w:szCs w:val="24"/>
          <w:lang w:val="en-GB"/>
        </w:rPr>
        <w:t>performance.</w:t>
      </w:r>
      <w:r>
        <w:rPr>
          <w:rFonts w:ascii="Times New Roman" w:eastAsia="Calibri" w:hAnsi="Times New Roman" w:cs="Times New Roman"/>
          <w:sz w:val="24"/>
          <w:szCs w:val="24"/>
          <w:lang w:val="en-GB"/>
        </w:rPr>
        <w:t xml:space="preserve"> </w:t>
      </w:r>
    </w:p>
    <w:p w14:paraId="79A7234D" w14:textId="66908F8A" w:rsidR="003D1324" w:rsidRDefault="00D553C9" w:rsidP="00B1276C">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With respect to the market valuation</w:t>
      </w:r>
      <w:r w:rsidR="005A54F1">
        <w:rPr>
          <w:rFonts w:ascii="Times New Roman" w:eastAsia="Calibri" w:hAnsi="Times New Roman" w:cs="Times New Roman"/>
          <w:sz w:val="24"/>
          <w:szCs w:val="24"/>
          <w:lang w:val="en-GB"/>
        </w:rPr>
        <w:t xml:space="preserve"> (Model 2), the results substantially differ f</w:t>
      </w:r>
      <w:r>
        <w:rPr>
          <w:rFonts w:ascii="Times New Roman" w:eastAsia="Calibri" w:hAnsi="Times New Roman" w:cs="Times New Roman"/>
          <w:sz w:val="24"/>
          <w:szCs w:val="24"/>
          <w:lang w:val="en-GB"/>
        </w:rPr>
        <w:t>rom</w:t>
      </w:r>
      <w:r w:rsidR="005A54F1">
        <w:rPr>
          <w:rFonts w:ascii="Times New Roman" w:eastAsia="Calibri" w:hAnsi="Times New Roman" w:cs="Times New Roman"/>
          <w:sz w:val="24"/>
          <w:szCs w:val="24"/>
          <w:lang w:val="en-GB"/>
        </w:rPr>
        <w:t xml:space="preserve"> those obtained </w:t>
      </w:r>
      <w:r w:rsidR="003D1324">
        <w:rPr>
          <w:rFonts w:ascii="Times New Roman" w:eastAsia="Calibri" w:hAnsi="Times New Roman" w:cs="Times New Roman"/>
          <w:sz w:val="24"/>
          <w:szCs w:val="24"/>
          <w:lang w:val="en-GB"/>
        </w:rPr>
        <w:t>in</w:t>
      </w:r>
      <w:r w:rsidR="005A54F1">
        <w:rPr>
          <w:rFonts w:ascii="Times New Roman" w:eastAsia="Calibri" w:hAnsi="Times New Roman" w:cs="Times New Roman"/>
          <w:sz w:val="24"/>
          <w:szCs w:val="24"/>
          <w:lang w:val="en-GB"/>
        </w:rPr>
        <w:t xml:space="preserve"> financial performance. The existence of asymmetries in the social sustainability areas does not appear to influence on the market value of the buyer firm.</w:t>
      </w:r>
      <w:r w:rsidR="004F320A">
        <w:rPr>
          <w:rFonts w:ascii="Times New Roman" w:eastAsia="Calibri" w:hAnsi="Times New Roman" w:cs="Times New Roman"/>
          <w:sz w:val="24"/>
          <w:szCs w:val="24"/>
          <w:lang w:val="en-GB"/>
        </w:rPr>
        <w:t xml:space="preserve"> </w:t>
      </w:r>
      <w:r w:rsidR="004F320A">
        <w:rPr>
          <w:rFonts w:ascii="Times New Roman" w:eastAsia="Calibri" w:hAnsi="Times New Roman" w:cs="Times New Roman"/>
          <w:sz w:val="24"/>
          <w:szCs w:val="24"/>
          <w:lang w:val="en-GB"/>
        </w:rPr>
        <w:lastRenderedPageBreak/>
        <w:t xml:space="preserve">This implies that the investors do not react to the presence of social sustainability </w:t>
      </w:r>
      <w:r w:rsidR="00705586">
        <w:rPr>
          <w:rFonts w:ascii="Times New Roman" w:eastAsia="Calibri" w:hAnsi="Times New Roman" w:cs="Times New Roman"/>
          <w:sz w:val="24"/>
          <w:szCs w:val="24"/>
          <w:lang w:val="en-GB"/>
        </w:rPr>
        <w:t>asymmetries</w:t>
      </w:r>
      <w:r w:rsidR="00C7571B">
        <w:rPr>
          <w:rFonts w:ascii="Times New Roman" w:eastAsia="Calibri" w:hAnsi="Times New Roman" w:cs="Times New Roman"/>
          <w:sz w:val="24"/>
          <w:szCs w:val="24"/>
          <w:lang w:val="en-GB"/>
        </w:rPr>
        <w:t xml:space="preserve"> </w:t>
      </w:r>
      <w:r w:rsidR="004F320A">
        <w:rPr>
          <w:rFonts w:ascii="Times New Roman" w:eastAsia="Calibri" w:hAnsi="Times New Roman" w:cs="Times New Roman"/>
          <w:sz w:val="24"/>
          <w:szCs w:val="24"/>
          <w:lang w:val="en-GB"/>
        </w:rPr>
        <w:t xml:space="preserve">in the same </w:t>
      </w:r>
      <w:r>
        <w:rPr>
          <w:rFonts w:ascii="Times New Roman" w:eastAsia="Calibri" w:hAnsi="Times New Roman" w:cs="Times New Roman"/>
          <w:sz w:val="24"/>
          <w:szCs w:val="24"/>
          <w:lang w:val="en-GB"/>
        </w:rPr>
        <w:t>way</w:t>
      </w:r>
      <w:r w:rsidR="004F320A">
        <w:rPr>
          <w:rFonts w:ascii="Times New Roman" w:eastAsia="Calibri" w:hAnsi="Times New Roman" w:cs="Times New Roman"/>
          <w:sz w:val="24"/>
          <w:szCs w:val="24"/>
          <w:lang w:val="en-GB"/>
        </w:rPr>
        <w:t xml:space="preserve"> as customers</w:t>
      </w:r>
      <w:r>
        <w:rPr>
          <w:rFonts w:ascii="Times New Roman" w:eastAsia="Calibri" w:hAnsi="Times New Roman" w:cs="Times New Roman"/>
          <w:sz w:val="24"/>
          <w:szCs w:val="24"/>
          <w:lang w:val="en-GB"/>
        </w:rPr>
        <w:t xml:space="preserve"> do</w:t>
      </w:r>
      <w:r w:rsidR="004F320A">
        <w:rPr>
          <w:rFonts w:ascii="Times New Roman" w:eastAsia="Calibri" w:hAnsi="Times New Roman" w:cs="Times New Roman"/>
          <w:sz w:val="24"/>
          <w:szCs w:val="24"/>
          <w:lang w:val="en-GB"/>
        </w:rPr>
        <w:t xml:space="preserve">. </w:t>
      </w:r>
      <w:r w:rsidR="003D1324">
        <w:rPr>
          <w:rFonts w:ascii="Times New Roman" w:eastAsia="Calibri" w:hAnsi="Times New Roman" w:cs="Times New Roman"/>
          <w:sz w:val="24"/>
          <w:szCs w:val="24"/>
          <w:lang w:val="en-GB"/>
        </w:rPr>
        <w:t xml:space="preserve">For the environmental sustainability dimension, the market impacts of the asymmetries are limited to the emission reduction area. </w:t>
      </w:r>
      <w:r w:rsidR="00543A76">
        <w:rPr>
          <w:rFonts w:ascii="Times New Roman" w:eastAsia="Calibri" w:hAnsi="Times New Roman" w:cs="Times New Roman"/>
          <w:sz w:val="24"/>
          <w:szCs w:val="24"/>
          <w:lang w:val="en-GB"/>
        </w:rPr>
        <w:t>T</w:t>
      </w:r>
      <w:r w:rsidR="003D1324">
        <w:rPr>
          <w:rFonts w:ascii="Times New Roman" w:eastAsia="Calibri" w:hAnsi="Times New Roman" w:cs="Times New Roman"/>
          <w:sz w:val="24"/>
          <w:szCs w:val="24"/>
          <w:lang w:val="en-GB"/>
        </w:rPr>
        <w:t>he effects of having unbalance</w:t>
      </w:r>
      <w:r w:rsidR="00705586">
        <w:rPr>
          <w:rFonts w:ascii="Times New Roman" w:eastAsia="Calibri" w:hAnsi="Times New Roman" w:cs="Times New Roman"/>
          <w:sz w:val="24"/>
          <w:szCs w:val="24"/>
          <w:lang w:val="en-GB"/>
        </w:rPr>
        <w:t>d</w:t>
      </w:r>
      <w:r w:rsidR="003D1324">
        <w:rPr>
          <w:rFonts w:ascii="Times New Roman" w:eastAsia="Calibri" w:hAnsi="Times New Roman" w:cs="Times New Roman"/>
          <w:sz w:val="24"/>
          <w:szCs w:val="24"/>
          <w:lang w:val="en-GB"/>
        </w:rPr>
        <w:t xml:space="preserve"> developments in emissions </w:t>
      </w:r>
      <w:r w:rsidR="00543A76">
        <w:rPr>
          <w:rFonts w:ascii="Times New Roman" w:eastAsia="Calibri" w:hAnsi="Times New Roman" w:cs="Times New Roman"/>
          <w:sz w:val="24"/>
          <w:szCs w:val="24"/>
          <w:lang w:val="en-GB"/>
        </w:rPr>
        <w:t xml:space="preserve">reduction </w:t>
      </w:r>
      <w:r w:rsidR="003D1324">
        <w:rPr>
          <w:rFonts w:ascii="Times New Roman" w:eastAsia="Calibri" w:hAnsi="Times New Roman" w:cs="Times New Roman"/>
          <w:sz w:val="24"/>
          <w:szCs w:val="24"/>
          <w:lang w:val="en-GB"/>
        </w:rPr>
        <w:t>affect negatively the market value of the buyer firm.</w:t>
      </w:r>
      <w:r w:rsidR="00543A76">
        <w:rPr>
          <w:rFonts w:ascii="Times New Roman" w:eastAsia="Calibri" w:hAnsi="Times New Roman" w:cs="Times New Roman"/>
          <w:sz w:val="24"/>
          <w:szCs w:val="24"/>
          <w:lang w:val="en-GB"/>
        </w:rPr>
        <w:t xml:space="preserve"> In this sense, it is important to notice that both customers and investors agree </w:t>
      </w:r>
      <w:r w:rsidR="00DA4D93">
        <w:rPr>
          <w:rFonts w:ascii="Times New Roman" w:eastAsia="Calibri" w:hAnsi="Times New Roman" w:cs="Times New Roman"/>
          <w:sz w:val="24"/>
          <w:szCs w:val="24"/>
          <w:lang w:val="en-GB"/>
        </w:rPr>
        <w:t>to have</w:t>
      </w:r>
      <w:r w:rsidR="00543A76">
        <w:rPr>
          <w:rFonts w:ascii="Times New Roman" w:eastAsia="Calibri" w:hAnsi="Times New Roman" w:cs="Times New Roman"/>
          <w:sz w:val="24"/>
          <w:szCs w:val="24"/>
          <w:lang w:val="en-GB"/>
        </w:rPr>
        <w:t xml:space="preserve"> balanced developments in the emissions reduction area, </w:t>
      </w:r>
      <w:r w:rsidR="00DA4D93">
        <w:rPr>
          <w:rFonts w:ascii="Times New Roman" w:eastAsia="Calibri" w:hAnsi="Times New Roman" w:cs="Times New Roman"/>
          <w:sz w:val="24"/>
          <w:szCs w:val="24"/>
          <w:lang w:val="en-GB"/>
        </w:rPr>
        <w:t>having</w:t>
      </w:r>
      <w:r w:rsidR="00543A76">
        <w:rPr>
          <w:rFonts w:ascii="Times New Roman" w:eastAsia="Calibri" w:hAnsi="Times New Roman" w:cs="Times New Roman"/>
          <w:sz w:val="24"/>
          <w:szCs w:val="24"/>
          <w:lang w:val="en-GB"/>
        </w:rPr>
        <w:t xml:space="preserve"> negative impact otherwise. In </w:t>
      </w:r>
      <w:r w:rsidR="0031489D">
        <w:rPr>
          <w:rFonts w:ascii="Times New Roman" w:eastAsia="Calibri" w:hAnsi="Times New Roman" w:cs="Times New Roman"/>
          <w:sz w:val="24"/>
          <w:szCs w:val="24"/>
          <w:lang w:val="en-GB"/>
        </w:rPr>
        <w:t>all other</w:t>
      </w:r>
      <w:r w:rsidR="00543A76">
        <w:rPr>
          <w:rFonts w:ascii="Times New Roman" w:eastAsia="Calibri" w:hAnsi="Times New Roman" w:cs="Times New Roman"/>
          <w:sz w:val="24"/>
          <w:szCs w:val="24"/>
          <w:lang w:val="en-GB"/>
        </w:rPr>
        <w:t xml:space="preserve"> </w:t>
      </w:r>
      <w:r w:rsidR="00EF144F">
        <w:rPr>
          <w:rFonts w:ascii="Times New Roman" w:eastAsia="Calibri" w:hAnsi="Times New Roman" w:cs="Times New Roman"/>
          <w:sz w:val="24"/>
          <w:szCs w:val="24"/>
          <w:lang w:val="en-GB"/>
        </w:rPr>
        <w:t xml:space="preserve">sustainability </w:t>
      </w:r>
      <w:r w:rsidR="00543A76">
        <w:rPr>
          <w:rFonts w:ascii="Times New Roman" w:eastAsia="Calibri" w:hAnsi="Times New Roman" w:cs="Times New Roman"/>
          <w:sz w:val="24"/>
          <w:szCs w:val="24"/>
          <w:lang w:val="en-GB"/>
        </w:rPr>
        <w:t xml:space="preserve">areas, </w:t>
      </w:r>
      <w:r w:rsidR="00EF144F">
        <w:rPr>
          <w:rFonts w:ascii="Times New Roman" w:eastAsia="Calibri" w:hAnsi="Times New Roman" w:cs="Times New Roman"/>
          <w:sz w:val="24"/>
          <w:szCs w:val="24"/>
          <w:lang w:val="en-GB"/>
        </w:rPr>
        <w:t xml:space="preserve">however, </w:t>
      </w:r>
      <w:r w:rsidR="00543A76">
        <w:rPr>
          <w:rFonts w:ascii="Times New Roman" w:eastAsia="Calibri" w:hAnsi="Times New Roman" w:cs="Times New Roman"/>
          <w:sz w:val="24"/>
          <w:szCs w:val="24"/>
          <w:lang w:val="en-GB"/>
        </w:rPr>
        <w:t>these segment</w:t>
      </w:r>
      <w:r w:rsidR="00E23D6E">
        <w:rPr>
          <w:rFonts w:ascii="Times New Roman" w:eastAsia="Calibri" w:hAnsi="Times New Roman" w:cs="Times New Roman"/>
          <w:sz w:val="24"/>
          <w:szCs w:val="24"/>
          <w:lang w:val="en-GB"/>
        </w:rPr>
        <w:t>s</w:t>
      </w:r>
      <w:r w:rsidR="00543A76">
        <w:rPr>
          <w:rFonts w:ascii="Times New Roman" w:eastAsia="Calibri" w:hAnsi="Times New Roman" w:cs="Times New Roman"/>
          <w:sz w:val="24"/>
          <w:szCs w:val="24"/>
          <w:lang w:val="en-GB"/>
        </w:rPr>
        <w:t xml:space="preserve"> of society </w:t>
      </w:r>
      <w:r w:rsidR="00EF144F">
        <w:rPr>
          <w:rFonts w:ascii="Times New Roman" w:eastAsia="Calibri" w:hAnsi="Times New Roman" w:cs="Times New Roman"/>
          <w:sz w:val="24"/>
          <w:szCs w:val="24"/>
          <w:lang w:val="en-GB"/>
        </w:rPr>
        <w:t xml:space="preserve">react </w:t>
      </w:r>
      <w:r w:rsidR="00543A76">
        <w:rPr>
          <w:rFonts w:ascii="Times New Roman" w:eastAsia="Calibri" w:hAnsi="Times New Roman" w:cs="Times New Roman"/>
          <w:sz w:val="24"/>
          <w:szCs w:val="24"/>
          <w:lang w:val="en-GB"/>
        </w:rPr>
        <w:t>differently</w:t>
      </w:r>
      <w:r w:rsidR="00EF144F">
        <w:rPr>
          <w:rFonts w:ascii="Times New Roman" w:eastAsia="Calibri" w:hAnsi="Times New Roman" w:cs="Times New Roman"/>
          <w:sz w:val="24"/>
          <w:szCs w:val="24"/>
          <w:lang w:val="en-GB"/>
        </w:rPr>
        <w:t xml:space="preserve"> to the lack of congruency, </w:t>
      </w:r>
      <w:r w:rsidR="0031489D">
        <w:rPr>
          <w:rFonts w:ascii="Times New Roman" w:eastAsia="Calibri" w:hAnsi="Times New Roman" w:cs="Times New Roman"/>
          <w:sz w:val="24"/>
          <w:szCs w:val="24"/>
          <w:lang w:val="en-GB"/>
        </w:rPr>
        <w:t>with impacts ranging from none to significant</w:t>
      </w:r>
      <w:r w:rsidR="00543A76">
        <w:rPr>
          <w:rFonts w:ascii="Times New Roman" w:eastAsia="Calibri" w:hAnsi="Times New Roman" w:cs="Times New Roman"/>
          <w:sz w:val="24"/>
          <w:szCs w:val="24"/>
          <w:lang w:val="en-GB"/>
        </w:rPr>
        <w:t>.</w:t>
      </w:r>
    </w:p>
    <w:p w14:paraId="3411DA8E" w14:textId="77777777" w:rsidR="009750F4" w:rsidRPr="00F06DCE" w:rsidRDefault="009750F4" w:rsidP="009750F4">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2BFA38E7" w14:textId="77777777" w:rsidR="009750F4" w:rsidRPr="00F06DCE" w:rsidRDefault="009750F4" w:rsidP="009750F4">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 xml:space="preserve">Insert </w:t>
      </w:r>
      <w:r>
        <w:rPr>
          <w:rFonts w:ascii="Times New Roman" w:hAnsi="Times New Roman" w:cs="Times New Roman"/>
          <w:sz w:val="24"/>
          <w:szCs w:val="24"/>
          <w:lang w:val="en-GB"/>
        </w:rPr>
        <w:t>Table</w:t>
      </w:r>
      <w:r w:rsidRPr="00F06DCE">
        <w:rPr>
          <w:rFonts w:ascii="Times New Roman" w:hAnsi="Times New Roman" w:cs="Times New Roman"/>
          <w:sz w:val="24"/>
          <w:szCs w:val="24"/>
          <w:lang w:val="en-GB"/>
        </w:rPr>
        <w:t xml:space="preserve"> </w:t>
      </w:r>
      <w:r>
        <w:rPr>
          <w:rFonts w:ascii="Times New Roman" w:hAnsi="Times New Roman" w:cs="Times New Roman"/>
          <w:sz w:val="24"/>
          <w:szCs w:val="24"/>
          <w:lang w:val="en-GB"/>
        </w:rPr>
        <w:t>3</w:t>
      </w:r>
      <w:r w:rsidRPr="00F06DCE">
        <w:rPr>
          <w:rFonts w:ascii="Times New Roman" w:hAnsi="Times New Roman" w:cs="Times New Roman"/>
          <w:sz w:val="24"/>
          <w:szCs w:val="24"/>
          <w:lang w:val="en-GB"/>
        </w:rPr>
        <w:t xml:space="preserve"> about here</w:t>
      </w:r>
    </w:p>
    <w:p w14:paraId="3965BC0D" w14:textId="77777777" w:rsidR="009750F4" w:rsidRPr="00F06DCE" w:rsidRDefault="009750F4" w:rsidP="009750F4">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31B9F385" w14:textId="3EDF2855" w:rsidR="00B1276C" w:rsidRDefault="00B1276C" w:rsidP="00B1276C">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results for the control varia</w:t>
      </w:r>
      <w:r w:rsidR="00FF5F57">
        <w:rPr>
          <w:rFonts w:ascii="Times New Roman" w:eastAsia="Calibri" w:hAnsi="Times New Roman" w:cs="Times New Roman"/>
          <w:sz w:val="24"/>
          <w:szCs w:val="24"/>
          <w:lang w:val="en-GB"/>
        </w:rPr>
        <w:t>b</w:t>
      </w:r>
      <w:r>
        <w:rPr>
          <w:rFonts w:ascii="Times New Roman" w:eastAsia="Calibri" w:hAnsi="Times New Roman" w:cs="Times New Roman"/>
          <w:sz w:val="24"/>
          <w:szCs w:val="24"/>
          <w:lang w:val="en-GB"/>
        </w:rPr>
        <w:t>les are in line</w:t>
      </w:r>
      <w:r w:rsidRPr="00873B4D">
        <w:rPr>
          <w:rFonts w:ascii="Times New Roman" w:eastAsia="Calibri" w:hAnsi="Times New Roman" w:cs="Times New Roman"/>
          <w:sz w:val="24"/>
          <w:szCs w:val="24"/>
          <w:lang w:val="en-GB"/>
        </w:rPr>
        <w:t xml:space="preserve"> with prior studies</w:t>
      </w:r>
      <w:r>
        <w:rPr>
          <w:rFonts w:ascii="Times New Roman" w:hAnsi="Times New Roman" w:cs="Times New Roman"/>
          <w:sz w:val="24"/>
          <w:lang w:val="en-GB"/>
        </w:rPr>
        <w:t>. T</w:t>
      </w:r>
      <w:r w:rsidRPr="00873B4D">
        <w:rPr>
          <w:rFonts w:ascii="Times New Roman" w:eastAsia="Calibri" w:hAnsi="Times New Roman" w:cs="Times New Roman"/>
          <w:sz w:val="24"/>
          <w:szCs w:val="24"/>
          <w:lang w:val="en-GB"/>
        </w:rPr>
        <w:t xml:space="preserve">he variables </w:t>
      </w:r>
      <w:r w:rsidR="009D3528">
        <w:rPr>
          <w:rFonts w:ascii="Times New Roman" w:eastAsia="Calibri" w:hAnsi="Times New Roman" w:cs="Times New Roman"/>
          <w:sz w:val="24"/>
          <w:szCs w:val="24"/>
          <w:lang w:val="en-GB"/>
        </w:rPr>
        <w:t xml:space="preserve">buyer </w:t>
      </w:r>
      <w:r w:rsidRPr="00873B4D">
        <w:rPr>
          <w:rFonts w:ascii="Times New Roman" w:eastAsia="Calibri" w:hAnsi="Times New Roman" w:cs="Times New Roman"/>
          <w:sz w:val="24"/>
          <w:szCs w:val="24"/>
          <w:lang w:val="en-GB"/>
        </w:rPr>
        <w:t xml:space="preserve">size, </w:t>
      </w:r>
      <w:r w:rsidR="000F6124">
        <w:rPr>
          <w:rFonts w:ascii="Times New Roman" w:eastAsia="Calibri" w:hAnsi="Times New Roman" w:cs="Times New Roman"/>
          <w:sz w:val="24"/>
          <w:szCs w:val="24"/>
          <w:lang w:val="en-GB"/>
        </w:rPr>
        <w:t>R&amp;D intensity,</w:t>
      </w:r>
      <w:r w:rsidRPr="00873B4D">
        <w:rPr>
          <w:rFonts w:ascii="Times New Roman" w:eastAsia="Calibri" w:hAnsi="Times New Roman" w:cs="Times New Roman"/>
          <w:sz w:val="24"/>
          <w:szCs w:val="24"/>
          <w:lang w:val="en-GB"/>
        </w:rPr>
        <w:t xml:space="preserve"> and mutual dependence </w:t>
      </w:r>
      <w:r w:rsidR="00570B30">
        <w:rPr>
          <w:rFonts w:ascii="Times New Roman" w:eastAsia="Calibri" w:hAnsi="Times New Roman" w:cs="Times New Roman"/>
          <w:sz w:val="24"/>
          <w:szCs w:val="24"/>
          <w:lang w:val="en-GB"/>
        </w:rPr>
        <w:t xml:space="preserve">have effects on financial performance that </w:t>
      </w:r>
      <w:r>
        <w:rPr>
          <w:rFonts w:ascii="Times New Roman" w:eastAsia="Calibri" w:hAnsi="Times New Roman" w:cs="Times New Roman"/>
          <w:sz w:val="24"/>
          <w:szCs w:val="24"/>
          <w:lang w:val="en-GB"/>
        </w:rPr>
        <w:t>are</w:t>
      </w:r>
      <w:r w:rsidRPr="00873B4D">
        <w:rPr>
          <w:rFonts w:ascii="Times New Roman" w:eastAsia="Calibri" w:hAnsi="Times New Roman" w:cs="Times New Roman"/>
          <w:sz w:val="24"/>
          <w:szCs w:val="24"/>
          <w:lang w:val="en-GB"/>
        </w:rPr>
        <w:t xml:space="preserve"> significant (p &lt; 0.01)</w:t>
      </w:r>
      <w:r>
        <w:rPr>
          <w:rFonts w:ascii="Times New Roman" w:eastAsia="Calibri" w:hAnsi="Times New Roman" w:cs="Times New Roman"/>
          <w:sz w:val="24"/>
          <w:szCs w:val="24"/>
          <w:lang w:val="en-GB"/>
        </w:rPr>
        <w:t>. Additionally, the relative ESG performance of the buyer and its top supplier</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also positively affects the buyer financial performance</w:t>
      </w:r>
      <w:r w:rsidR="0031489D">
        <w:rPr>
          <w:rFonts w:ascii="Times New Roman" w:eastAsia="Calibri" w:hAnsi="Times New Roman" w:cs="Times New Roman"/>
          <w:sz w:val="24"/>
          <w:szCs w:val="24"/>
          <w:lang w:val="en-GB"/>
        </w:rPr>
        <w:t>, whereas only the ESG performance of the buyer influences the buyer market performance</w:t>
      </w:r>
      <w:r>
        <w:rPr>
          <w:rFonts w:ascii="Times New Roman" w:eastAsia="Calibri" w:hAnsi="Times New Roman" w:cs="Times New Roman"/>
          <w:sz w:val="24"/>
          <w:szCs w:val="24"/>
          <w:lang w:val="en-GB"/>
        </w:rPr>
        <w:t>.</w:t>
      </w:r>
    </w:p>
    <w:p w14:paraId="426FE217" w14:textId="26232BE0" w:rsidR="00B1276C" w:rsidRDefault="00B1276C" w:rsidP="00B1276C">
      <w:pPr>
        <w:spacing w:line="480" w:lineRule="auto"/>
        <w:jc w:val="both"/>
        <w:rPr>
          <w:rFonts w:ascii="Times New Roman" w:eastAsia="Calibri" w:hAnsi="Times New Roman" w:cs="Times New Roman"/>
          <w:sz w:val="24"/>
          <w:szCs w:val="24"/>
          <w:lang w:val="en-GB"/>
        </w:rPr>
      </w:pPr>
      <w:r w:rsidRPr="00E85348">
        <w:rPr>
          <w:rFonts w:ascii="Times New Roman" w:eastAsia="Calibri" w:hAnsi="Times New Roman" w:cs="Times New Roman"/>
          <w:sz w:val="24"/>
          <w:szCs w:val="24"/>
          <w:lang w:val="en-GB"/>
        </w:rPr>
        <w:t xml:space="preserve">Nonetheless, the </w:t>
      </w:r>
      <w:proofErr w:type="spellStart"/>
      <w:r w:rsidR="00DB78AA" w:rsidRPr="00E85348">
        <w:rPr>
          <w:rFonts w:ascii="Times New Roman" w:eastAsia="Calibri" w:hAnsi="Times New Roman" w:cs="Times New Roman"/>
          <w:sz w:val="24"/>
          <w:szCs w:val="24"/>
          <w:lang w:val="en-GB"/>
        </w:rPr>
        <w:t>modeli</w:t>
      </w:r>
      <w:r w:rsidR="00FA4CD9">
        <w:rPr>
          <w:rFonts w:ascii="Times New Roman" w:eastAsia="Calibri" w:hAnsi="Times New Roman" w:cs="Times New Roman"/>
          <w:sz w:val="24"/>
          <w:szCs w:val="24"/>
          <w:lang w:val="en-GB"/>
        </w:rPr>
        <w:t>z</w:t>
      </w:r>
      <w:r w:rsidR="00DB78AA" w:rsidRPr="00E85348">
        <w:rPr>
          <w:rFonts w:ascii="Times New Roman" w:eastAsia="Calibri" w:hAnsi="Times New Roman" w:cs="Times New Roman"/>
          <w:sz w:val="24"/>
          <w:szCs w:val="24"/>
          <w:lang w:val="en-GB"/>
        </w:rPr>
        <w:t>ation</w:t>
      </w:r>
      <w:proofErr w:type="spellEnd"/>
      <w:r w:rsidR="00B96764">
        <w:rPr>
          <w:rFonts w:ascii="Times New Roman" w:eastAsia="Calibri" w:hAnsi="Times New Roman" w:cs="Times New Roman"/>
          <w:sz w:val="24"/>
          <w:szCs w:val="24"/>
          <w:lang w:val="en-GB"/>
        </w:rPr>
        <w:t xml:space="preserve"> based only on the degree of asymmetry</w:t>
      </w:r>
      <w:r>
        <w:rPr>
          <w:rFonts w:ascii="Times New Roman" w:eastAsia="Calibri" w:hAnsi="Times New Roman" w:cs="Times New Roman"/>
          <w:sz w:val="24"/>
          <w:szCs w:val="24"/>
          <w:lang w:val="en-GB"/>
        </w:rPr>
        <w:t xml:space="preserve"> does not allow us to examine whether the asymmetries effects will still be present in both buyer’s sustainability </w:t>
      </w:r>
      <w:r w:rsidR="00D52F25">
        <w:rPr>
          <w:rFonts w:ascii="Times New Roman" w:eastAsia="Calibri" w:hAnsi="Times New Roman" w:cs="Times New Roman"/>
          <w:sz w:val="24"/>
          <w:szCs w:val="24"/>
          <w:lang w:val="en-GB"/>
        </w:rPr>
        <w:t>approaches</w:t>
      </w:r>
      <w:r>
        <w:rPr>
          <w:rFonts w:ascii="Times New Roman" w:eastAsia="Calibri" w:hAnsi="Times New Roman" w:cs="Times New Roman"/>
          <w:sz w:val="24"/>
          <w:szCs w:val="24"/>
          <w:lang w:val="en-GB"/>
        </w:rPr>
        <w:t xml:space="preserve">. </w:t>
      </w:r>
      <w:r w:rsidR="00D52F25">
        <w:rPr>
          <w:rFonts w:ascii="Times New Roman" w:eastAsia="Calibri" w:hAnsi="Times New Roman" w:cs="Times New Roman"/>
          <w:sz w:val="24"/>
          <w:szCs w:val="24"/>
          <w:lang w:val="en-GB"/>
        </w:rPr>
        <w:t xml:space="preserve">To </w:t>
      </w:r>
      <w:r>
        <w:rPr>
          <w:rFonts w:ascii="Times New Roman" w:eastAsia="Calibri" w:hAnsi="Times New Roman" w:cs="Times New Roman"/>
          <w:sz w:val="24"/>
          <w:szCs w:val="24"/>
          <w:lang w:val="en-GB"/>
        </w:rPr>
        <w:t xml:space="preserve">be able </w:t>
      </w:r>
      <w:r w:rsidR="00B96764">
        <w:rPr>
          <w:rFonts w:ascii="Times New Roman" w:eastAsia="Calibri" w:hAnsi="Times New Roman" w:cs="Times New Roman"/>
          <w:sz w:val="24"/>
          <w:szCs w:val="24"/>
          <w:lang w:val="en-GB"/>
        </w:rPr>
        <w:t xml:space="preserve">to </w:t>
      </w:r>
      <w:r w:rsidR="00AB3468">
        <w:rPr>
          <w:rFonts w:ascii="Times New Roman" w:eastAsia="Calibri" w:hAnsi="Times New Roman" w:cs="Times New Roman"/>
          <w:sz w:val="24"/>
          <w:szCs w:val="24"/>
          <w:lang w:val="en-GB"/>
        </w:rPr>
        <w:t>fully</w:t>
      </w:r>
      <w:r>
        <w:rPr>
          <w:rFonts w:ascii="Times New Roman" w:eastAsia="Calibri" w:hAnsi="Times New Roman" w:cs="Times New Roman"/>
          <w:sz w:val="24"/>
          <w:szCs w:val="24"/>
          <w:lang w:val="en-GB"/>
        </w:rPr>
        <w:t xml:space="preserve"> examine the </w:t>
      </w:r>
      <w:r w:rsidR="00E14925">
        <w:rPr>
          <w:rFonts w:ascii="Times New Roman" w:eastAsia="Calibri" w:hAnsi="Times New Roman" w:cs="Times New Roman"/>
          <w:sz w:val="24"/>
          <w:szCs w:val="24"/>
          <w:lang w:val="en-GB"/>
        </w:rPr>
        <w:t xml:space="preserve">effect of different </w:t>
      </w:r>
      <w:r>
        <w:rPr>
          <w:rFonts w:ascii="Times New Roman" w:eastAsia="Calibri" w:hAnsi="Times New Roman" w:cs="Times New Roman"/>
          <w:sz w:val="24"/>
          <w:szCs w:val="24"/>
          <w:lang w:val="en-GB"/>
        </w:rPr>
        <w:t xml:space="preserve">sustainability </w:t>
      </w:r>
      <w:r w:rsidR="00E14925">
        <w:rPr>
          <w:rFonts w:ascii="Times New Roman" w:eastAsia="Calibri" w:hAnsi="Times New Roman" w:cs="Times New Roman"/>
          <w:sz w:val="24"/>
          <w:szCs w:val="24"/>
          <w:lang w:val="en-GB"/>
        </w:rPr>
        <w:t>approaches</w:t>
      </w:r>
      <w:r w:rsidR="00D52F25">
        <w:rPr>
          <w:rFonts w:ascii="Times New Roman" w:eastAsia="Calibri" w:hAnsi="Times New Roman" w:cs="Times New Roman"/>
          <w:sz w:val="24"/>
          <w:szCs w:val="24"/>
          <w:lang w:val="en-GB"/>
        </w:rPr>
        <w:t xml:space="preserve"> the analysis needs to show the degree and direction of the asymmetry</w:t>
      </w:r>
      <w:r>
        <w:rPr>
          <w:rFonts w:ascii="Times New Roman" w:eastAsia="Calibri" w:hAnsi="Times New Roman" w:cs="Times New Roman"/>
          <w:sz w:val="24"/>
          <w:szCs w:val="24"/>
          <w:lang w:val="en-GB"/>
        </w:rPr>
        <w:t xml:space="preserve">. Table 4 displays </w:t>
      </w:r>
      <w:r w:rsidRPr="00873B4D">
        <w:rPr>
          <w:rFonts w:ascii="Times New Roman" w:eastAsia="Calibri" w:hAnsi="Times New Roman" w:cs="Times New Roman"/>
          <w:sz w:val="24"/>
          <w:szCs w:val="24"/>
          <w:lang w:val="en-GB"/>
        </w:rPr>
        <w:t xml:space="preserve">the results </w:t>
      </w:r>
      <w:r>
        <w:rPr>
          <w:rFonts w:ascii="Times New Roman" w:eastAsia="Calibri" w:hAnsi="Times New Roman" w:cs="Times New Roman"/>
          <w:sz w:val="24"/>
          <w:szCs w:val="24"/>
          <w:lang w:val="en-GB"/>
        </w:rPr>
        <w:t>for the</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second group of sustainability </w:t>
      </w:r>
      <w:r w:rsidRPr="00873B4D">
        <w:rPr>
          <w:rFonts w:ascii="Times New Roman" w:eastAsia="Calibri" w:hAnsi="Times New Roman" w:cs="Times New Roman"/>
          <w:sz w:val="24"/>
          <w:szCs w:val="24"/>
          <w:lang w:val="en-GB"/>
        </w:rPr>
        <w:t>asymmetries</w:t>
      </w:r>
      <w:r>
        <w:rPr>
          <w:rFonts w:ascii="Times New Roman" w:eastAsia="Calibri" w:hAnsi="Times New Roman" w:cs="Times New Roman"/>
          <w:sz w:val="24"/>
          <w:szCs w:val="24"/>
          <w:lang w:val="en-GB"/>
        </w:rPr>
        <w:t xml:space="preserve"> that gather both the degree and direction, which are estimated through the spline technique. In Model </w:t>
      </w:r>
      <w:r w:rsidR="007B3595">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 xml:space="preserve">, </w:t>
      </w:r>
      <w:r w:rsidR="00AB3468">
        <w:rPr>
          <w:rFonts w:ascii="Times New Roman" w:eastAsia="Calibri" w:hAnsi="Times New Roman" w:cs="Times New Roman"/>
          <w:sz w:val="24"/>
          <w:szCs w:val="24"/>
          <w:lang w:val="en-GB"/>
        </w:rPr>
        <w:t>we present the results for ROA.</w:t>
      </w:r>
      <w:r>
        <w:rPr>
          <w:rFonts w:ascii="Times New Roman" w:eastAsia="Calibri" w:hAnsi="Times New Roman" w:cs="Times New Roman"/>
          <w:sz w:val="24"/>
          <w:szCs w:val="24"/>
          <w:lang w:val="en-GB"/>
        </w:rPr>
        <w:t xml:space="preserve"> </w:t>
      </w:r>
      <w:r w:rsidR="007B3595">
        <w:rPr>
          <w:rFonts w:ascii="Times New Roman" w:eastAsia="Calibri" w:hAnsi="Times New Roman" w:cs="Times New Roman"/>
          <w:sz w:val="24"/>
          <w:szCs w:val="24"/>
          <w:lang w:val="en-GB"/>
        </w:rPr>
        <w:t xml:space="preserve">We show the results for Tobin’s q in Model 4. </w:t>
      </w:r>
    </w:p>
    <w:p w14:paraId="04CD00D2" w14:textId="7BCD32B4" w:rsidR="000C6469" w:rsidRDefault="00B1276C" w:rsidP="00B1276C">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The results of the spline technique are aligned with those obtained by applying an absolute value difference technique.</w:t>
      </w:r>
      <w:r w:rsidR="00540E70">
        <w:rPr>
          <w:rFonts w:ascii="Times New Roman" w:eastAsia="Calibri" w:hAnsi="Times New Roman" w:cs="Times New Roman"/>
          <w:sz w:val="24"/>
          <w:szCs w:val="24"/>
          <w:lang w:val="en-GB"/>
        </w:rPr>
        <w:t xml:space="preserve"> </w:t>
      </w:r>
      <w:r w:rsidR="002E4F33">
        <w:rPr>
          <w:rFonts w:ascii="Times New Roman" w:eastAsia="Calibri" w:hAnsi="Times New Roman" w:cs="Times New Roman"/>
          <w:sz w:val="24"/>
          <w:szCs w:val="24"/>
          <w:lang w:val="en-GB"/>
        </w:rPr>
        <w:t xml:space="preserve">More precisely, </w:t>
      </w:r>
      <w:r>
        <w:rPr>
          <w:rFonts w:ascii="Times New Roman" w:eastAsia="Calibri" w:hAnsi="Times New Roman" w:cs="Times New Roman"/>
          <w:sz w:val="24"/>
          <w:szCs w:val="24"/>
          <w:lang w:val="en-GB"/>
        </w:rPr>
        <w:t>the environmental asymmetri</w:t>
      </w:r>
      <w:r w:rsidR="00540E70">
        <w:rPr>
          <w:rFonts w:ascii="Times New Roman" w:eastAsia="Calibri" w:hAnsi="Times New Roman" w:cs="Times New Roman"/>
          <w:sz w:val="24"/>
          <w:szCs w:val="24"/>
          <w:lang w:val="en-GB"/>
        </w:rPr>
        <w:t>e</w:t>
      </w:r>
      <w:r>
        <w:rPr>
          <w:rFonts w:ascii="Times New Roman" w:eastAsia="Calibri" w:hAnsi="Times New Roman" w:cs="Times New Roman"/>
          <w:sz w:val="24"/>
          <w:szCs w:val="24"/>
          <w:lang w:val="en-GB"/>
        </w:rPr>
        <w:t xml:space="preserve">s </w:t>
      </w:r>
      <w:r w:rsidR="00540E70">
        <w:rPr>
          <w:rFonts w:ascii="Times New Roman" w:eastAsia="Calibri" w:hAnsi="Times New Roman" w:cs="Times New Roman"/>
          <w:sz w:val="24"/>
          <w:szCs w:val="24"/>
          <w:lang w:val="en-GB"/>
        </w:rPr>
        <w:t>in the area of emissions reduction are negative</w:t>
      </w:r>
      <w:r>
        <w:rPr>
          <w:rFonts w:ascii="Times New Roman" w:eastAsia="Calibri" w:hAnsi="Times New Roman" w:cs="Times New Roman"/>
          <w:sz w:val="24"/>
          <w:szCs w:val="24"/>
          <w:lang w:val="en-GB"/>
        </w:rPr>
        <w:t xml:space="preserve">, </w:t>
      </w:r>
      <w:r w:rsidR="00540E70">
        <w:rPr>
          <w:rFonts w:ascii="Times New Roman" w:eastAsia="Calibri" w:hAnsi="Times New Roman" w:cs="Times New Roman"/>
          <w:sz w:val="24"/>
          <w:szCs w:val="24"/>
          <w:lang w:val="en-GB"/>
        </w:rPr>
        <w:t xml:space="preserve">while in the area of resource reduction they are positive. However, </w:t>
      </w:r>
      <w:r w:rsidR="002E4F33">
        <w:rPr>
          <w:rFonts w:ascii="Times New Roman" w:eastAsia="Calibri" w:hAnsi="Times New Roman" w:cs="Times New Roman"/>
          <w:sz w:val="24"/>
          <w:szCs w:val="24"/>
          <w:lang w:val="en-GB"/>
        </w:rPr>
        <w:t xml:space="preserve">with the spline technique we </w:t>
      </w:r>
      <w:r w:rsidR="00540E70">
        <w:rPr>
          <w:rFonts w:ascii="Times New Roman" w:eastAsia="Calibri" w:hAnsi="Times New Roman" w:cs="Times New Roman"/>
          <w:sz w:val="24"/>
          <w:szCs w:val="24"/>
          <w:lang w:val="en-GB"/>
        </w:rPr>
        <w:t xml:space="preserve">can </w:t>
      </w:r>
      <w:r w:rsidR="002E4F33">
        <w:rPr>
          <w:rFonts w:ascii="Times New Roman" w:eastAsia="Calibri" w:hAnsi="Times New Roman" w:cs="Times New Roman"/>
          <w:sz w:val="24"/>
          <w:szCs w:val="24"/>
          <w:lang w:val="en-GB"/>
        </w:rPr>
        <w:t xml:space="preserve">examine </w:t>
      </w:r>
      <w:r w:rsidR="00540E70">
        <w:rPr>
          <w:rFonts w:ascii="Times New Roman" w:eastAsia="Calibri" w:hAnsi="Times New Roman" w:cs="Times New Roman"/>
          <w:sz w:val="24"/>
          <w:szCs w:val="24"/>
          <w:lang w:val="en-GB"/>
        </w:rPr>
        <w:t xml:space="preserve">each of the de-composed variables </w:t>
      </w:r>
      <w:r w:rsidR="00E22E2D">
        <w:rPr>
          <w:rFonts w:ascii="Times New Roman" w:eastAsia="Calibri" w:hAnsi="Times New Roman" w:cs="Times New Roman"/>
          <w:sz w:val="24"/>
          <w:szCs w:val="24"/>
          <w:lang w:val="en-GB"/>
        </w:rPr>
        <w:t xml:space="preserve">in depth </w:t>
      </w:r>
      <w:r w:rsidR="00540E70">
        <w:rPr>
          <w:rFonts w:ascii="Times New Roman" w:eastAsia="Calibri" w:hAnsi="Times New Roman" w:cs="Times New Roman"/>
          <w:sz w:val="24"/>
          <w:szCs w:val="24"/>
          <w:lang w:val="en-GB"/>
        </w:rPr>
        <w:t>and assess whether these effects exist only when the buyer firm (</w:t>
      </w:r>
      <w:r w:rsidR="00A54A09">
        <w:rPr>
          <w:rFonts w:ascii="Times New Roman" w:eastAsia="Calibri" w:hAnsi="Times New Roman" w:cs="Times New Roman"/>
          <w:sz w:val="24"/>
          <w:szCs w:val="24"/>
          <w:lang w:val="en-GB"/>
        </w:rPr>
        <w:t xml:space="preserve">or </w:t>
      </w:r>
      <w:r w:rsidR="00540E70">
        <w:rPr>
          <w:rFonts w:ascii="Times New Roman" w:eastAsia="Calibri" w:hAnsi="Times New Roman" w:cs="Times New Roman"/>
          <w:sz w:val="24"/>
          <w:szCs w:val="24"/>
          <w:lang w:val="en-GB"/>
        </w:rPr>
        <w:t xml:space="preserve">the top supplier) is leading the sustainability area. For the emission reduction area, </w:t>
      </w:r>
      <w:r w:rsidR="00540E70" w:rsidRPr="00873B4D">
        <w:rPr>
          <w:rFonts w:ascii="Times New Roman" w:eastAsia="Calibri" w:hAnsi="Times New Roman" w:cs="Times New Roman"/>
          <w:sz w:val="24"/>
          <w:szCs w:val="24"/>
          <w:lang w:val="en-GB"/>
        </w:rPr>
        <w:t xml:space="preserve">we found that </w:t>
      </w:r>
      <w:r w:rsidR="00540E70">
        <w:rPr>
          <w:rFonts w:ascii="Times New Roman" w:eastAsia="Calibri" w:hAnsi="Times New Roman" w:cs="Times New Roman"/>
          <w:sz w:val="24"/>
          <w:szCs w:val="24"/>
          <w:lang w:val="en-GB"/>
        </w:rPr>
        <w:t>both de</w:t>
      </w:r>
      <w:r w:rsidR="00C56972">
        <w:rPr>
          <w:rFonts w:ascii="Times New Roman" w:eastAsia="Calibri" w:hAnsi="Times New Roman" w:cs="Times New Roman"/>
          <w:sz w:val="24"/>
          <w:szCs w:val="24"/>
          <w:lang w:val="en-GB"/>
        </w:rPr>
        <w:t>-</w:t>
      </w:r>
      <w:r w:rsidR="00540E70">
        <w:rPr>
          <w:rFonts w:ascii="Times New Roman" w:eastAsia="Calibri" w:hAnsi="Times New Roman" w:cs="Times New Roman"/>
          <w:sz w:val="24"/>
          <w:szCs w:val="24"/>
          <w:lang w:val="en-GB"/>
        </w:rPr>
        <w:t xml:space="preserve">composed variables have a </w:t>
      </w:r>
      <w:r w:rsidR="00540E70" w:rsidRPr="00873B4D">
        <w:rPr>
          <w:rFonts w:ascii="Times New Roman" w:eastAsia="Calibri" w:hAnsi="Times New Roman" w:cs="Times New Roman"/>
          <w:sz w:val="24"/>
          <w:szCs w:val="24"/>
          <w:lang w:val="en-GB"/>
        </w:rPr>
        <w:t xml:space="preserve">negative impact on </w:t>
      </w:r>
      <w:r w:rsidR="00311781">
        <w:rPr>
          <w:rFonts w:ascii="Times New Roman" w:eastAsia="Calibri" w:hAnsi="Times New Roman" w:cs="Times New Roman"/>
          <w:sz w:val="24"/>
          <w:szCs w:val="24"/>
          <w:lang w:val="en-GB"/>
        </w:rPr>
        <w:t xml:space="preserve">the </w:t>
      </w:r>
      <w:r w:rsidR="003F277B">
        <w:rPr>
          <w:rFonts w:ascii="Times New Roman" w:eastAsia="Calibri" w:hAnsi="Times New Roman" w:cs="Times New Roman"/>
          <w:sz w:val="24"/>
          <w:szCs w:val="24"/>
          <w:lang w:val="en-GB"/>
        </w:rPr>
        <w:t xml:space="preserve">buyer’s </w:t>
      </w:r>
      <w:r w:rsidR="00311781">
        <w:rPr>
          <w:rFonts w:ascii="Times New Roman" w:eastAsia="Calibri" w:hAnsi="Times New Roman" w:cs="Times New Roman"/>
          <w:sz w:val="24"/>
          <w:szCs w:val="24"/>
          <w:lang w:val="en-GB"/>
        </w:rPr>
        <w:t xml:space="preserve">financial </w:t>
      </w:r>
      <w:r w:rsidR="00540E70" w:rsidRPr="00873B4D">
        <w:rPr>
          <w:rFonts w:ascii="Times New Roman" w:eastAsia="Calibri" w:hAnsi="Times New Roman" w:cs="Times New Roman"/>
          <w:sz w:val="24"/>
          <w:szCs w:val="24"/>
          <w:lang w:val="en-GB"/>
        </w:rPr>
        <w:t xml:space="preserve">performance, but </w:t>
      </w:r>
      <w:r w:rsidR="00E85348">
        <w:rPr>
          <w:rFonts w:ascii="Times New Roman" w:eastAsia="Calibri" w:hAnsi="Times New Roman" w:cs="Times New Roman"/>
          <w:sz w:val="24"/>
          <w:szCs w:val="24"/>
          <w:lang w:val="en-GB"/>
        </w:rPr>
        <w:t xml:space="preserve">the </w:t>
      </w:r>
      <w:r w:rsidR="00A54A09">
        <w:rPr>
          <w:rFonts w:ascii="Times New Roman" w:eastAsia="Calibri" w:hAnsi="Times New Roman" w:cs="Times New Roman"/>
          <w:sz w:val="24"/>
          <w:szCs w:val="24"/>
          <w:lang w:val="en-GB"/>
        </w:rPr>
        <w:t xml:space="preserve">results are significant (p &lt; 0.05) </w:t>
      </w:r>
      <w:r w:rsidR="00540E70" w:rsidRPr="00873B4D">
        <w:rPr>
          <w:rFonts w:ascii="Times New Roman" w:eastAsia="Calibri" w:hAnsi="Times New Roman" w:cs="Times New Roman"/>
          <w:sz w:val="24"/>
          <w:szCs w:val="24"/>
          <w:lang w:val="en-GB"/>
        </w:rPr>
        <w:t xml:space="preserve">only </w:t>
      </w:r>
      <w:r w:rsidR="00540E70">
        <w:rPr>
          <w:rFonts w:ascii="Times New Roman" w:eastAsia="Calibri" w:hAnsi="Times New Roman" w:cs="Times New Roman"/>
          <w:sz w:val="24"/>
          <w:szCs w:val="24"/>
          <w:lang w:val="en-GB"/>
        </w:rPr>
        <w:t>when the</w:t>
      </w:r>
      <w:r w:rsidR="00540E70" w:rsidRPr="00873B4D">
        <w:rPr>
          <w:rFonts w:ascii="Times New Roman" w:eastAsia="Calibri" w:hAnsi="Times New Roman" w:cs="Times New Roman"/>
          <w:sz w:val="24"/>
          <w:szCs w:val="24"/>
          <w:lang w:val="en-GB"/>
        </w:rPr>
        <w:t xml:space="preserve"> </w:t>
      </w:r>
      <w:r w:rsidR="00540E70">
        <w:rPr>
          <w:rFonts w:ascii="Times New Roman" w:eastAsia="Calibri" w:hAnsi="Times New Roman" w:cs="Times New Roman"/>
          <w:sz w:val="24"/>
          <w:szCs w:val="24"/>
          <w:lang w:val="en-GB"/>
        </w:rPr>
        <w:t>supplier is leading</w:t>
      </w:r>
      <w:r w:rsidR="00540E70" w:rsidRPr="00873B4D">
        <w:rPr>
          <w:rFonts w:ascii="Times New Roman" w:eastAsia="Calibri" w:hAnsi="Times New Roman" w:cs="Times New Roman"/>
          <w:sz w:val="24"/>
          <w:szCs w:val="24"/>
          <w:lang w:val="en-GB"/>
        </w:rPr>
        <w:t xml:space="preserve">. This finding reveals that </w:t>
      </w:r>
      <w:r w:rsidR="00540E70">
        <w:rPr>
          <w:rFonts w:ascii="Times New Roman" w:eastAsia="Calibri" w:hAnsi="Times New Roman" w:cs="Times New Roman"/>
          <w:sz w:val="24"/>
          <w:szCs w:val="24"/>
          <w:lang w:val="en-GB"/>
        </w:rPr>
        <w:t>when the buyer firm is lagging behind in the emission reduction a</w:t>
      </w:r>
      <w:r w:rsidR="00726AC4">
        <w:rPr>
          <w:rFonts w:ascii="Times New Roman" w:eastAsia="Calibri" w:hAnsi="Times New Roman" w:cs="Times New Roman"/>
          <w:sz w:val="24"/>
          <w:szCs w:val="24"/>
          <w:lang w:val="en-GB"/>
        </w:rPr>
        <w:t>rea</w:t>
      </w:r>
      <w:r w:rsidR="00540E70">
        <w:rPr>
          <w:rFonts w:ascii="Times New Roman" w:eastAsia="Calibri" w:hAnsi="Times New Roman" w:cs="Times New Roman"/>
          <w:sz w:val="24"/>
          <w:szCs w:val="24"/>
          <w:lang w:val="en-GB"/>
        </w:rPr>
        <w:t>, it will end up harming its profitability</w:t>
      </w:r>
      <w:r w:rsidR="00C37E0A">
        <w:rPr>
          <w:rFonts w:ascii="Times New Roman" w:eastAsia="Calibri" w:hAnsi="Times New Roman" w:cs="Times New Roman"/>
          <w:sz w:val="24"/>
          <w:szCs w:val="24"/>
          <w:lang w:val="en-GB"/>
        </w:rPr>
        <w:t xml:space="preserve"> over time</w:t>
      </w:r>
      <w:r w:rsidR="00540E70">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In the case of resource reduction, we found </w:t>
      </w:r>
      <w:r w:rsidRPr="00873B4D">
        <w:rPr>
          <w:rFonts w:ascii="Times New Roman" w:eastAsia="Calibri" w:hAnsi="Times New Roman" w:cs="Times New Roman"/>
          <w:sz w:val="24"/>
          <w:szCs w:val="24"/>
          <w:lang w:val="en-GB"/>
        </w:rPr>
        <w:t xml:space="preserve">positive </w:t>
      </w:r>
      <w:r>
        <w:rPr>
          <w:rFonts w:ascii="Times New Roman" w:eastAsia="Calibri" w:hAnsi="Times New Roman" w:cs="Times New Roman"/>
          <w:sz w:val="24"/>
          <w:szCs w:val="24"/>
          <w:lang w:val="en-GB"/>
        </w:rPr>
        <w:t xml:space="preserve">and significant </w:t>
      </w:r>
      <w:r w:rsidRPr="00873B4D">
        <w:rPr>
          <w:rFonts w:ascii="Times New Roman" w:eastAsia="Calibri" w:hAnsi="Times New Roman" w:cs="Times New Roman"/>
          <w:sz w:val="24"/>
          <w:szCs w:val="24"/>
          <w:lang w:val="en-GB"/>
        </w:rPr>
        <w:t>effects</w:t>
      </w:r>
      <w:r>
        <w:rPr>
          <w:rFonts w:ascii="Times New Roman" w:eastAsia="Calibri" w:hAnsi="Times New Roman" w:cs="Times New Roman"/>
          <w:sz w:val="24"/>
          <w:szCs w:val="24"/>
          <w:lang w:val="en-GB"/>
        </w:rPr>
        <w:t xml:space="preserve"> in both de-composed variables </w:t>
      </w:r>
      <w:r w:rsidRPr="00873B4D">
        <w:rPr>
          <w:rFonts w:ascii="Times New Roman" w:eastAsia="Calibri" w:hAnsi="Times New Roman" w:cs="Times New Roman"/>
          <w:sz w:val="24"/>
          <w:szCs w:val="24"/>
          <w:lang w:val="en-GB"/>
        </w:rPr>
        <w:t>(p &lt; 0.05 for the leading approach and p &lt; 0.10 for the greening approach)</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implying a positive effect on the buyer’s profitability </w:t>
      </w:r>
      <w:r w:rsidRPr="00873B4D">
        <w:rPr>
          <w:rFonts w:ascii="Times New Roman" w:eastAsia="Calibri" w:hAnsi="Times New Roman" w:cs="Times New Roman"/>
          <w:sz w:val="24"/>
          <w:szCs w:val="24"/>
          <w:lang w:val="en-GB"/>
        </w:rPr>
        <w:t>regardless</w:t>
      </w:r>
      <w:r>
        <w:rPr>
          <w:rFonts w:ascii="Times New Roman" w:eastAsia="Calibri" w:hAnsi="Times New Roman" w:cs="Times New Roman"/>
          <w:sz w:val="24"/>
          <w:szCs w:val="24"/>
          <w:lang w:val="en-GB"/>
        </w:rPr>
        <w:t xml:space="preserve"> of</w:t>
      </w:r>
      <w:r w:rsidRPr="00873B4D">
        <w:rPr>
          <w:rFonts w:ascii="Times New Roman" w:eastAsia="Calibri" w:hAnsi="Times New Roman" w:cs="Times New Roman"/>
          <w:sz w:val="24"/>
          <w:szCs w:val="24"/>
          <w:lang w:val="en-GB"/>
        </w:rPr>
        <w:t xml:space="preserve"> who is leading </w:t>
      </w:r>
      <w:r>
        <w:rPr>
          <w:rFonts w:ascii="Times New Roman" w:eastAsia="Calibri" w:hAnsi="Times New Roman" w:cs="Times New Roman"/>
          <w:sz w:val="24"/>
          <w:szCs w:val="24"/>
          <w:lang w:val="en-GB"/>
        </w:rPr>
        <w:t xml:space="preserve">in this particular area. </w:t>
      </w:r>
      <w:r w:rsidRPr="00A55B69">
        <w:rPr>
          <w:rFonts w:ascii="Times New Roman" w:eastAsia="Calibri" w:hAnsi="Times New Roman" w:cs="Times New Roman"/>
          <w:sz w:val="24"/>
          <w:szCs w:val="24"/>
          <w:lang w:val="en-GB"/>
        </w:rPr>
        <w:t xml:space="preserve">This result can be interpreted </w:t>
      </w:r>
      <w:r w:rsidR="0052372B">
        <w:rPr>
          <w:rFonts w:ascii="Times New Roman" w:eastAsia="Calibri" w:hAnsi="Times New Roman" w:cs="Times New Roman"/>
          <w:sz w:val="24"/>
          <w:szCs w:val="24"/>
          <w:lang w:val="en-GB"/>
        </w:rPr>
        <w:t xml:space="preserve">as follows: </w:t>
      </w:r>
      <w:r w:rsidR="00BD0CB3">
        <w:rPr>
          <w:rFonts w:ascii="Times New Roman" w:eastAsia="Calibri" w:hAnsi="Times New Roman" w:cs="Times New Roman"/>
          <w:sz w:val="24"/>
          <w:szCs w:val="24"/>
          <w:lang w:val="en-GB"/>
        </w:rPr>
        <w:t xml:space="preserve">by </w:t>
      </w:r>
      <w:r w:rsidR="0052372B">
        <w:rPr>
          <w:rFonts w:ascii="Times New Roman" w:eastAsia="Calibri" w:hAnsi="Times New Roman" w:cs="Times New Roman"/>
          <w:sz w:val="24"/>
          <w:szCs w:val="24"/>
          <w:lang w:val="en-GB"/>
        </w:rPr>
        <w:t xml:space="preserve">consuming </w:t>
      </w:r>
      <w:r w:rsidR="00E85348">
        <w:rPr>
          <w:rFonts w:ascii="Times New Roman" w:eastAsia="Calibri" w:hAnsi="Times New Roman" w:cs="Times New Roman"/>
          <w:sz w:val="24"/>
          <w:szCs w:val="24"/>
          <w:lang w:val="en-GB"/>
        </w:rPr>
        <w:t>fewer</w:t>
      </w:r>
      <w:r w:rsidR="00E85348" w:rsidRPr="00A55B69">
        <w:rPr>
          <w:rFonts w:ascii="Times New Roman" w:eastAsia="Calibri" w:hAnsi="Times New Roman" w:cs="Times New Roman"/>
          <w:sz w:val="24"/>
          <w:szCs w:val="24"/>
          <w:lang w:val="en-GB"/>
        </w:rPr>
        <w:t xml:space="preserve"> </w:t>
      </w:r>
      <w:r w:rsidRPr="00A55B69">
        <w:rPr>
          <w:rFonts w:ascii="Times New Roman" w:eastAsia="Calibri" w:hAnsi="Times New Roman" w:cs="Times New Roman"/>
          <w:sz w:val="24"/>
          <w:szCs w:val="24"/>
          <w:lang w:val="en-GB"/>
        </w:rPr>
        <w:t>input resources</w:t>
      </w:r>
      <w:r>
        <w:rPr>
          <w:rFonts w:ascii="Times New Roman" w:eastAsia="Calibri" w:hAnsi="Times New Roman" w:cs="Times New Roman"/>
          <w:sz w:val="24"/>
          <w:szCs w:val="24"/>
          <w:lang w:val="en-GB"/>
        </w:rPr>
        <w:t xml:space="preserve"> on one side</w:t>
      </w:r>
      <w:r w:rsidR="00C56972">
        <w:rPr>
          <w:rFonts w:ascii="Times New Roman" w:eastAsia="Calibri" w:hAnsi="Times New Roman" w:cs="Times New Roman"/>
          <w:sz w:val="24"/>
          <w:szCs w:val="24"/>
          <w:lang w:val="en-GB"/>
        </w:rPr>
        <w:t>, i</w:t>
      </w:r>
      <w:r>
        <w:rPr>
          <w:rFonts w:ascii="Times New Roman" w:eastAsia="Calibri" w:hAnsi="Times New Roman" w:cs="Times New Roman"/>
          <w:sz w:val="24"/>
          <w:szCs w:val="24"/>
          <w:lang w:val="en-GB"/>
        </w:rPr>
        <w:t>ndependently of which firm it is</w:t>
      </w:r>
      <w:r w:rsidR="00C56972">
        <w:rPr>
          <w:rFonts w:ascii="Times New Roman" w:eastAsia="Calibri" w:hAnsi="Times New Roman" w:cs="Times New Roman"/>
          <w:sz w:val="24"/>
          <w:szCs w:val="24"/>
          <w:lang w:val="en-GB"/>
        </w:rPr>
        <w:t>,</w:t>
      </w:r>
      <w:r w:rsidR="0052372B">
        <w:rPr>
          <w:rFonts w:ascii="Times New Roman" w:eastAsia="Calibri" w:hAnsi="Times New Roman" w:cs="Times New Roman"/>
          <w:sz w:val="24"/>
          <w:szCs w:val="24"/>
          <w:lang w:val="en-GB"/>
        </w:rPr>
        <w:t xml:space="preserve"> </w:t>
      </w:r>
      <w:r w:rsidR="00C37E0A">
        <w:rPr>
          <w:rFonts w:ascii="Times New Roman" w:eastAsia="Calibri" w:hAnsi="Times New Roman" w:cs="Times New Roman"/>
          <w:sz w:val="24"/>
          <w:szCs w:val="24"/>
          <w:lang w:val="en-GB"/>
        </w:rPr>
        <w:t xml:space="preserve">customers </w:t>
      </w:r>
      <w:r w:rsidRPr="00A55B69">
        <w:rPr>
          <w:rFonts w:ascii="Times New Roman" w:eastAsia="Calibri" w:hAnsi="Times New Roman" w:cs="Times New Roman"/>
          <w:sz w:val="24"/>
          <w:szCs w:val="24"/>
          <w:lang w:val="en-GB"/>
        </w:rPr>
        <w:t xml:space="preserve">will </w:t>
      </w:r>
      <w:r w:rsidR="000C6469">
        <w:rPr>
          <w:rFonts w:ascii="Times New Roman" w:eastAsia="Calibri" w:hAnsi="Times New Roman" w:cs="Times New Roman"/>
          <w:sz w:val="24"/>
          <w:szCs w:val="24"/>
          <w:lang w:val="en-GB"/>
        </w:rPr>
        <w:t xml:space="preserve">always </w:t>
      </w:r>
      <w:r w:rsidR="00C37E0A">
        <w:rPr>
          <w:rFonts w:ascii="Times New Roman" w:eastAsia="Calibri" w:hAnsi="Times New Roman" w:cs="Times New Roman"/>
          <w:sz w:val="24"/>
          <w:szCs w:val="24"/>
          <w:lang w:val="en-GB"/>
        </w:rPr>
        <w:t xml:space="preserve">perceive </w:t>
      </w:r>
      <w:r w:rsidR="000C6469">
        <w:rPr>
          <w:rFonts w:ascii="Times New Roman" w:eastAsia="Calibri" w:hAnsi="Times New Roman" w:cs="Times New Roman"/>
          <w:sz w:val="24"/>
          <w:szCs w:val="24"/>
          <w:lang w:val="en-GB"/>
        </w:rPr>
        <w:t xml:space="preserve">it </w:t>
      </w:r>
      <w:r w:rsidR="00C37E0A">
        <w:rPr>
          <w:rFonts w:ascii="Times New Roman" w:eastAsia="Calibri" w:hAnsi="Times New Roman" w:cs="Times New Roman"/>
          <w:sz w:val="24"/>
          <w:szCs w:val="24"/>
          <w:lang w:val="en-GB"/>
        </w:rPr>
        <w:t xml:space="preserve">in a good manner, </w:t>
      </w:r>
      <w:r w:rsidR="000C6469">
        <w:rPr>
          <w:rFonts w:ascii="Times New Roman" w:eastAsia="Calibri" w:hAnsi="Times New Roman" w:cs="Times New Roman"/>
          <w:sz w:val="24"/>
          <w:szCs w:val="24"/>
          <w:lang w:val="en-GB"/>
        </w:rPr>
        <w:t>and</w:t>
      </w:r>
      <w:r w:rsidR="00C7571B">
        <w:rPr>
          <w:rFonts w:ascii="Times New Roman" w:eastAsia="Calibri" w:hAnsi="Times New Roman" w:cs="Times New Roman"/>
          <w:sz w:val="24"/>
          <w:szCs w:val="24"/>
          <w:lang w:val="en-GB"/>
        </w:rPr>
        <w:t xml:space="preserve"> the </w:t>
      </w:r>
      <w:r w:rsidR="00BB35DA">
        <w:rPr>
          <w:rFonts w:ascii="Times New Roman" w:eastAsia="Calibri" w:hAnsi="Times New Roman" w:cs="Times New Roman"/>
          <w:sz w:val="24"/>
          <w:szCs w:val="24"/>
          <w:lang w:val="en-GB"/>
        </w:rPr>
        <w:t>higher</w:t>
      </w:r>
      <w:r w:rsidR="00C7571B">
        <w:rPr>
          <w:rFonts w:ascii="Times New Roman" w:eastAsia="Calibri" w:hAnsi="Times New Roman" w:cs="Times New Roman"/>
          <w:sz w:val="24"/>
          <w:szCs w:val="24"/>
          <w:lang w:val="en-GB"/>
        </w:rPr>
        <w:t xml:space="preserve"> </w:t>
      </w:r>
      <w:r w:rsidR="009750F4">
        <w:rPr>
          <w:rFonts w:ascii="Times New Roman" w:eastAsia="Calibri" w:hAnsi="Times New Roman" w:cs="Times New Roman"/>
          <w:sz w:val="24"/>
          <w:szCs w:val="24"/>
          <w:lang w:val="en-GB"/>
        </w:rPr>
        <w:t xml:space="preserve">sustainability </w:t>
      </w:r>
      <w:r w:rsidR="00C7571B">
        <w:rPr>
          <w:rFonts w:ascii="Times New Roman" w:eastAsia="Calibri" w:hAnsi="Times New Roman" w:cs="Times New Roman"/>
          <w:sz w:val="24"/>
          <w:szCs w:val="24"/>
          <w:lang w:val="en-GB"/>
        </w:rPr>
        <w:t xml:space="preserve">legitimacy </w:t>
      </w:r>
      <w:r w:rsidR="000C6469">
        <w:rPr>
          <w:rFonts w:ascii="Times New Roman" w:eastAsia="Calibri" w:hAnsi="Times New Roman" w:cs="Times New Roman"/>
          <w:sz w:val="24"/>
          <w:szCs w:val="24"/>
          <w:lang w:val="en-GB"/>
        </w:rPr>
        <w:t>will materialize in an increase of</w:t>
      </w:r>
      <w:r w:rsidRPr="00A55B69">
        <w:rPr>
          <w:rFonts w:ascii="Times New Roman" w:eastAsia="Calibri" w:hAnsi="Times New Roman" w:cs="Times New Roman"/>
          <w:sz w:val="24"/>
          <w:szCs w:val="24"/>
          <w:lang w:val="en-GB"/>
        </w:rPr>
        <w:t xml:space="preserve"> </w:t>
      </w:r>
      <w:r w:rsidR="000C6469">
        <w:rPr>
          <w:rFonts w:ascii="Times New Roman" w:eastAsia="Calibri" w:hAnsi="Times New Roman" w:cs="Times New Roman"/>
          <w:sz w:val="24"/>
          <w:szCs w:val="24"/>
          <w:lang w:val="en-GB"/>
        </w:rPr>
        <w:t xml:space="preserve">the buyer’s </w:t>
      </w:r>
      <w:r>
        <w:rPr>
          <w:rFonts w:ascii="Times New Roman" w:eastAsia="Calibri" w:hAnsi="Times New Roman" w:cs="Times New Roman"/>
          <w:sz w:val="24"/>
          <w:szCs w:val="24"/>
          <w:lang w:val="en-GB"/>
        </w:rPr>
        <w:t xml:space="preserve">financial </w:t>
      </w:r>
      <w:r w:rsidRPr="00A55B69">
        <w:rPr>
          <w:rFonts w:ascii="Times New Roman" w:eastAsia="Calibri" w:hAnsi="Times New Roman" w:cs="Times New Roman"/>
          <w:sz w:val="24"/>
          <w:szCs w:val="24"/>
          <w:lang w:val="en-GB"/>
        </w:rPr>
        <w:t>performance.</w:t>
      </w:r>
      <w:r>
        <w:rPr>
          <w:rFonts w:ascii="Times New Roman" w:eastAsia="Calibri" w:hAnsi="Times New Roman" w:cs="Times New Roman"/>
          <w:sz w:val="24"/>
          <w:szCs w:val="24"/>
          <w:lang w:val="en-GB"/>
        </w:rPr>
        <w:t xml:space="preserve"> For </w:t>
      </w:r>
      <w:r w:rsidR="0052372B">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 xml:space="preserve">social sustainability </w:t>
      </w:r>
      <w:r w:rsidR="00C56972">
        <w:rPr>
          <w:rFonts w:ascii="Times New Roman" w:eastAsia="Calibri" w:hAnsi="Times New Roman" w:cs="Times New Roman"/>
          <w:sz w:val="24"/>
          <w:szCs w:val="24"/>
          <w:lang w:val="en-GB"/>
        </w:rPr>
        <w:t>dimension</w:t>
      </w:r>
      <w:r>
        <w:rPr>
          <w:rFonts w:ascii="Times New Roman" w:eastAsia="Calibri" w:hAnsi="Times New Roman" w:cs="Times New Roman"/>
          <w:sz w:val="24"/>
          <w:szCs w:val="24"/>
          <w:lang w:val="en-GB"/>
        </w:rPr>
        <w:t xml:space="preserve">, </w:t>
      </w:r>
      <w:r w:rsidR="0052372B">
        <w:rPr>
          <w:rFonts w:ascii="Times New Roman" w:eastAsia="Calibri" w:hAnsi="Times New Roman" w:cs="Times New Roman"/>
          <w:sz w:val="24"/>
          <w:szCs w:val="24"/>
          <w:lang w:val="en-GB"/>
        </w:rPr>
        <w:t xml:space="preserve">the buyer’s profits </w:t>
      </w:r>
      <w:r w:rsidR="00BD0CB3">
        <w:rPr>
          <w:rFonts w:ascii="Times New Roman" w:eastAsia="Calibri" w:hAnsi="Times New Roman" w:cs="Times New Roman"/>
          <w:sz w:val="24"/>
          <w:szCs w:val="24"/>
          <w:lang w:val="en-GB"/>
        </w:rPr>
        <w:t>increase</w:t>
      </w:r>
      <w:r w:rsidR="0052372B">
        <w:rPr>
          <w:rFonts w:ascii="Times New Roman" w:eastAsia="Calibri" w:hAnsi="Times New Roman" w:cs="Times New Roman"/>
          <w:sz w:val="24"/>
          <w:szCs w:val="24"/>
          <w:lang w:val="en-GB"/>
        </w:rPr>
        <w:t xml:space="preserve"> </w:t>
      </w:r>
      <w:r w:rsidR="00BD0CB3">
        <w:rPr>
          <w:rFonts w:ascii="Times New Roman" w:eastAsia="Calibri" w:hAnsi="Times New Roman" w:cs="Times New Roman"/>
          <w:sz w:val="24"/>
          <w:szCs w:val="24"/>
          <w:lang w:val="en-GB"/>
        </w:rPr>
        <w:t xml:space="preserve">slightly </w:t>
      </w:r>
      <w:r w:rsidR="00540E70">
        <w:rPr>
          <w:rFonts w:ascii="Times New Roman" w:eastAsia="Calibri" w:hAnsi="Times New Roman" w:cs="Times New Roman"/>
          <w:sz w:val="24"/>
          <w:szCs w:val="24"/>
          <w:lang w:val="en-GB"/>
        </w:rPr>
        <w:t xml:space="preserve">only when </w:t>
      </w:r>
      <w:r w:rsidR="0052372B">
        <w:rPr>
          <w:rFonts w:ascii="Times New Roman" w:eastAsia="Calibri" w:hAnsi="Times New Roman" w:cs="Times New Roman"/>
          <w:sz w:val="24"/>
          <w:szCs w:val="24"/>
          <w:lang w:val="en-GB"/>
        </w:rPr>
        <w:t>it</w:t>
      </w:r>
      <w:r w:rsidR="00540E70">
        <w:rPr>
          <w:rFonts w:ascii="Times New Roman" w:eastAsia="Calibri" w:hAnsi="Times New Roman" w:cs="Times New Roman"/>
          <w:sz w:val="24"/>
          <w:szCs w:val="24"/>
          <w:lang w:val="en-GB"/>
        </w:rPr>
        <w:t xml:space="preserve"> is leading</w:t>
      </w:r>
      <w:r w:rsidR="00C56972">
        <w:rPr>
          <w:rFonts w:ascii="Times New Roman" w:eastAsia="Calibri" w:hAnsi="Times New Roman" w:cs="Times New Roman"/>
          <w:sz w:val="24"/>
          <w:szCs w:val="24"/>
          <w:lang w:val="en-GB"/>
        </w:rPr>
        <w:t xml:space="preserve"> in </w:t>
      </w:r>
      <w:r w:rsidR="00BD0CB3">
        <w:rPr>
          <w:rFonts w:ascii="Times New Roman" w:eastAsia="Calibri" w:hAnsi="Times New Roman" w:cs="Times New Roman"/>
          <w:sz w:val="24"/>
          <w:szCs w:val="24"/>
          <w:lang w:val="en-GB"/>
        </w:rPr>
        <w:t xml:space="preserve">the </w:t>
      </w:r>
      <w:r w:rsidR="00C56972">
        <w:rPr>
          <w:rFonts w:ascii="Times New Roman" w:eastAsia="Calibri" w:hAnsi="Times New Roman" w:cs="Times New Roman"/>
          <w:sz w:val="24"/>
          <w:szCs w:val="24"/>
          <w:lang w:val="en-GB"/>
        </w:rPr>
        <w:t>health and safety</w:t>
      </w:r>
      <w:r w:rsidR="00BD0CB3">
        <w:rPr>
          <w:rFonts w:ascii="Times New Roman" w:eastAsia="Calibri" w:hAnsi="Times New Roman" w:cs="Times New Roman"/>
          <w:sz w:val="24"/>
          <w:szCs w:val="24"/>
          <w:lang w:val="en-GB"/>
        </w:rPr>
        <w:t xml:space="preserve"> area</w:t>
      </w:r>
      <w:r w:rsidR="000C6469">
        <w:rPr>
          <w:rFonts w:ascii="Times New Roman" w:eastAsia="Calibri" w:hAnsi="Times New Roman" w:cs="Times New Roman"/>
          <w:sz w:val="24"/>
          <w:szCs w:val="24"/>
          <w:lang w:val="en-GB"/>
        </w:rPr>
        <w:t>.</w:t>
      </w:r>
    </w:p>
    <w:p w14:paraId="4233CB95" w14:textId="532E4936" w:rsidR="000C6469" w:rsidRDefault="000C6469" w:rsidP="00B1276C">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Regarding the market performance, we find that both buyer’s sustainability approaches lead to negative impacts </w:t>
      </w:r>
      <w:r w:rsidR="00EC1DB0">
        <w:rPr>
          <w:rFonts w:ascii="Times New Roman" w:eastAsia="Calibri" w:hAnsi="Times New Roman" w:cs="Times New Roman"/>
          <w:sz w:val="24"/>
          <w:szCs w:val="24"/>
          <w:lang w:val="en-GB"/>
        </w:rPr>
        <w:t>o</w:t>
      </w:r>
      <w:r>
        <w:rPr>
          <w:rFonts w:ascii="Times New Roman" w:eastAsia="Calibri" w:hAnsi="Times New Roman" w:cs="Times New Roman"/>
          <w:sz w:val="24"/>
          <w:szCs w:val="24"/>
          <w:lang w:val="en-GB"/>
        </w:rPr>
        <w:t>n buyer valuation in the area of emissions reduction</w:t>
      </w:r>
      <w:r w:rsidR="003F277B">
        <w:rPr>
          <w:rFonts w:ascii="Times New Roman" w:eastAsia="Calibri" w:hAnsi="Times New Roman" w:cs="Times New Roman"/>
          <w:sz w:val="24"/>
          <w:szCs w:val="24"/>
          <w:lang w:val="en-GB"/>
        </w:rPr>
        <w:t xml:space="preserve"> </w:t>
      </w:r>
      <w:r w:rsidR="003F277B" w:rsidRPr="00873B4D">
        <w:rPr>
          <w:rFonts w:ascii="Times New Roman" w:eastAsia="Calibri" w:hAnsi="Times New Roman" w:cs="Times New Roman"/>
          <w:sz w:val="24"/>
          <w:szCs w:val="24"/>
          <w:lang w:val="en-GB"/>
        </w:rPr>
        <w:t>(p &lt; 0.0</w:t>
      </w:r>
      <w:r w:rsidR="003F277B">
        <w:rPr>
          <w:rFonts w:ascii="Times New Roman" w:eastAsia="Calibri" w:hAnsi="Times New Roman" w:cs="Times New Roman"/>
          <w:sz w:val="24"/>
          <w:szCs w:val="24"/>
          <w:lang w:val="en-GB"/>
        </w:rPr>
        <w:t>1</w:t>
      </w:r>
      <w:r w:rsidR="003F277B" w:rsidRPr="00873B4D">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As mentioned before, investors penalize the lack of congruency in th</w:t>
      </w:r>
      <w:r w:rsidR="00EC1DB0">
        <w:rPr>
          <w:rFonts w:ascii="Times New Roman" w:eastAsia="Calibri" w:hAnsi="Times New Roman" w:cs="Times New Roman"/>
          <w:sz w:val="24"/>
          <w:szCs w:val="24"/>
          <w:lang w:val="en-GB"/>
        </w:rPr>
        <w:t>is</w:t>
      </w:r>
      <w:r>
        <w:rPr>
          <w:rFonts w:ascii="Times New Roman" w:eastAsia="Calibri" w:hAnsi="Times New Roman" w:cs="Times New Roman"/>
          <w:sz w:val="24"/>
          <w:szCs w:val="24"/>
          <w:lang w:val="en-GB"/>
        </w:rPr>
        <w:t xml:space="preserve"> area, </w:t>
      </w:r>
      <w:r w:rsidR="00EC1DB0">
        <w:rPr>
          <w:rFonts w:ascii="Times New Roman" w:eastAsia="Calibri" w:hAnsi="Times New Roman" w:cs="Times New Roman"/>
          <w:sz w:val="24"/>
          <w:szCs w:val="24"/>
          <w:lang w:val="en-GB"/>
        </w:rPr>
        <w:t xml:space="preserve">as </w:t>
      </w:r>
      <w:r w:rsidR="00BD0CB3">
        <w:rPr>
          <w:rFonts w:ascii="Times New Roman" w:eastAsia="Calibri" w:hAnsi="Times New Roman" w:cs="Times New Roman"/>
          <w:sz w:val="24"/>
          <w:szCs w:val="24"/>
          <w:lang w:val="en-GB"/>
        </w:rPr>
        <w:t>they understand</w:t>
      </w:r>
      <w:r w:rsidR="00EC1DB0">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that</w:t>
      </w:r>
      <w:r w:rsidR="00EC1DB0">
        <w:rPr>
          <w:rFonts w:ascii="Times New Roman" w:eastAsia="Calibri" w:hAnsi="Times New Roman" w:cs="Times New Roman"/>
          <w:sz w:val="24"/>
          <w:szCs w:val="24"/>
          <w:lang w:val="en-GB"/>
        </w:rPr>
        <w:t xml:space="preserve"> firms along the supply chain should </w:t>
      </w:r>
      <w:r w:rsidR="00392966">
        <w:rPr>
          <w:rFonts w:ascii="Times New Roman" w:eastAsia="Calibri" w:hAnsi="Times New Roman" w:cs="Times New Roman"/>
          <w:sz w:val="24"/>
          <w:szCs w:val="24"/>
          <w:lang w:val="en-GB"/>
        </w:rPr>
        <w:t>adopt similar reduction emission developments</w:t>
      </w:r>
      <w:r w:rsidR="00EC1DB0">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r w:rsidR="00EC1DB0">
        <w:rPr>
          <w:rFonts w:ascii="Times New Roman" w:eastAsia="Calibri" w:hAnsi="Times New Roman" w:cs="Times New Roman"/>
          <w:sz w:val="24"/>
          <w:szCs w:val="24"/>
          <w:lang w:val="en-GB"/>
        </w:rPr>
        <w:t>Therefore, the undertaken e</w:t>
      </w:r>
      <w:r w:rsidR="00EC1DB0">
        <w:rPr>
          <w:rFonts w:ascii="Times New Roman" w:eastAsia="Calibri" w:hAnsi="Times New Roman" w:cs="Times New Roman"/>
          <w:sz w:val="24"/>
          <w:szCs w:val="24"/>
          <w:lang w:val="en-GB"/>
        </w:rPr>
        <w:t>fforts in the emissions reduction area should be aligned</w:t>
      </w:r>
      <w:r w:rsidR="00B31E9C">
        <w:rPr>
          <w:rFonts w:ascii="Times New Roman" w:eastAsia="Calibri" w:hAnsi="Times New Roman" w:cs="Times New Roman"/>
          <w:sz w:val="24"/>
          <w:szCs w:val="24"/>
          <w:lang w:val="en-GB"/>
        </w:rPr>
        <w:t xml:space="preserve"> throughout</w:t>
      </w:r>
      <w:r w:rsidR="00EC1DB0">
        <w:rPr>
          <w:rFonts w:ascii="Times New Roman" w:eastAsia="Calibri" w:hAnsi="Times New Roman" w:cs="Times New Roman"/>
          <w:sz w:val="24"/>
          <w:szCs w:val="24"/>
          <w:lang w:val="en-GB"/>
        </w:rPr>
        <w:t xml:space="preserve"> </w:t>
      </w:r>
      <w:r w:rsidR="00B31E9C">
        <w:rPr>
          <w:rFonts w:ascii="Times New Roman" w:eastAsia="Calibri" w:hAnsi="Times New Roman" w:cs="Times New Roman"/>
          <w:sz w:val="24"/>
          <w:szCs w:val="24"/>
          <w:lang w:val="en-GB"/>
        </w:rPr>
        <w:t xml:space="preserve">the </w:t>
      </w:r>
      <w:r w:rsidR="00EC1DB0">
        <w:rPr>
          <w:rFonts w:ascii="Times New Roman" w:eastAsia="Calibri" w:hAnsi="Times New Roman" w:cs="Times New Roman"/>
          <w:sz w:val="24"/>
          <w:szCs w:val="24"/>
          <w:lang w:val="en-GB"/>
        </w:rPr>
        <w:t xml:space="preserve">supply chain, playing the buyer firms a significant role to </w:t>
      </w:r>
      <w:r w:rsidR="00B31E9C">
        <w:rPr>
          <w:rFonts w:ascii="Times New Roman" w:eastAsia="Calibri" w:hAnsi="Times New Roman" w:cs="Times New Roman"/>
          <w:sz w:val="24"/>
          <w:szCs w:val="24"/>
          <w:lang w:val="en-GB"/>
        </w:rPr>
        <w:lastRenderedPageBreak/>
        <w:t xml:space="preserve">continue progressing in this path and avoid free-rider </w:t>
      </w:r>
      <w:r w:rsidR="0003006C">
        <w:rPr>
          <w:rFonts w:ascii="Times New Roman" w:eastAsia="Calibri" w:hAnsi="Times New Roman" w:cs="Times New Roman"/>
          <w:sz w:val="24"/>
          <w:szCs w:val="24"/>
          <w:lang w:val="en-GB"/>
        </w:rPr>
        <w:t>behaviours</w:t>
      </w:r>
      <w:r w:rsidR="00B31E9C">
        <w:rPr>
          <w:rFonts w:ascii="Times New Roman" w:eastAsia="Calibri" w:hAnsi="Times New Roman" w:cs="Times New Roman"/>
          <w:sz w:val="24"/>
          <w:szCs w:val="24"/>
          <w:lang w:val="en-GB"/>
        </w:rPr>
        <w:t>; otherwise, it</w:t>
      </w:r>
      <w:r w:rsidR="00EC1DB0">
        <w:rPr>
          <w:rFonts w:ascii="Times New Roman" w:eastAsia="Calibri" w:hAnsi="Times New Roman" w:cs="Times New Roman"/>
          <w:sz w:val="24"/>
          <w:szCs w:val="24"/>
          <w:lang w:val="en-GB"/>
        </w:rPr>
        <w:t xml:space="preserve"> will negative</w:t>
      </w:r>
      <w:r w:rsidR="00392966">
        <w:rPr>
          <w:rFonts w:ascii="Times New Roman" w:eastAsia="Calibri" w:hAnsi="Times New Roman" w:cs="Times New Roman"/>
          <w:sz w:val="24"/>
          <w:szCs w:val="24"/>
          <w:lang w:val="en-GB"/>
        </w:rPr>
        <w:t>ly</w:t>
      </w:r>
      <w:r w:rsidR="00EC1DB0">
        <w:rPr>
          <w:rFonts w:ascii="Times New Roman" w:eastAsia="Calibri" w:hAnsi="Times New Roman" w:cs="Times New Roman"/>
          <w:sz w:val="24"/>
          <w:szCs w:val="24"/>
          <w:lang w:val="en-GB"/>
        </w:rPr>
        <w:t xml:space="preserve"> affect their </w:t>
      </w:r>
      <w:r w:rsidR="00B31E9C">
        <w:rPr>
          <w:rFonts w:ascii="Times New Roman" w:eastAsia="Calibri" w:hAnsi="Times New Roman" w:cs="Times New Roman"/>
          <w:sz w:val="24"/>
          <w:szCs w:val="24"/>
          <w:lang w:val="en-GB"/>
        </w:rPr>
        <w:t xml:space="preserve">market </w:t>
      </w:r>
      <w:r w:rsidR="00EC1DB0">
        <w:rPr>
          <w:rFonts w:ascii="Times New Roman" w:eastAsia="Calibri" w:hAnsi="Times New Roman" w:cs="Times New Roman"/>
          <w:sz w:val="24"/>
          <w:szCs w:val="24"/>
          <w:lang w:val="en-GB"/>
        </w:rPr>
        <w:t>performance.</w:t>
      </w:r>
    </w:p>
    <w:p w14:paraId="1F2748E8" w14:textId="2469B459" w:rsidR="00B527BA" w:rsidRPr="00F06DCE" w:rsidRDefault="00B527BA" w:rsidP="00B527BA">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4124BD21" w14:textId="77777777" w:rsidR="00B527BA" w:rsidRPr="00F06DCE" w:rsidRDefault="00B527BA" w:rsidP="00B527BA">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 xml:space="preserve">Insert </w:t>
      </w:r>
      <w:r>
        <w:rPr>
          <w:rFonts w:ascii="Times New Roman" w:hAnsi="Times New Roman" w:cs="Times New Roman"/>
          <w:sz w:val="24"/>
          <w:szCs w:val="24"/>
          <w:lang w:val="en-GB"/>
        </w:rPr>
        <w:t>Table</w:t>
      </w:r>
      <w:r w:rsidRPr="00F06DCE">
        <w:rPr>
          <w:rFonts w:ascii="Times New Roman" w:hAnsi="Times New Roman" w:cs="Times New Roman"/>
          <w:sz w:val="24"/>
          <w:szCs w:val="24"/>
          <w:lang w:val="en-GB"/>
        </w:rPr>
        <w:t xml:space="preserve"> </w:t>
      </w:r>
      <w:r>
        <w:rPr>
          <w:rFonts w:ascii="Times New Roman" w:hAnsi="Times New Roman" w:cs="Times New Roman"/>
          <w:sz w:val="24"/>
          <w:szCs w:val="24"/>
          <w:lang w:val="en-GB"/>
        </w:rPr>
        <w:t>4</w:t>
      </w:r>
      <w:r w:rsidRPr="00F06DCE">
        <w:rPr>
          <w:rFonts w:ascii="Times New Roman" w:hAnsi="Times New Roman" w:cs="Times New Roman"/>
          <w:sz w:val="24"/>
          <w:szCs w:val="24"/>
          <w:lang w:val="en-GB"/>
        </w:rPr>
        <w:t xml:space="preserve"> about here</w:t>
      </w:r>
    </w:p>
    <w:p w14:paraId="39787474" w14:textId="77777777" w:rsidR="00B527BA" w:rsidRPr="00F06DCE" w:rsidRDefault="00B527BA" w:rsidP="00B527BA">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2941F6C0" w14:textId="2710B2EA" w:rsidR="00DD0B43" w:rsidRDefault="00DD0B43" w:rsidP="00DD0B43">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As a summary,</w:t>
      </w:r>
      <w:r w:rsidRPr="00DD0B43">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Table </w:t>
      </w:r>
      <w:r w:rsidR="001D0B27">
        <w:rPr>
          <w:rFonts w:ascii="Times New Roman" w:eastAsia="Calibri" w:hAnsi="Times New Roman" w:cs="Times New Roman"/>
          <w:sz w:val="24"/>
          <w:szCs w:val="24"/>
          <w:lang w:val="en-GB"/>
        </w:rPr>
        <w:t>5</w:t>
      </w:r>
      <w:r>
        <w:rPr>
          <w:rFonts w:ascii="Times New Roman" w:eastAsia="Calibri" w:hAnsi="Times New Roman" w:cs="Times New Roman"/>
          <w:sz w:val="24"/>
          <w:szCs w:val="24"/>
          <w:lang w:val="en-GB"/>
        </w:rPr>
        <w:t xml:space="preserve"> shows </w:t>
      </w:r>
      <w:r w:rsidRPr="00DD0B43">
        <w:rPr>
          <w:rFonts w:ascii="Times New Roman" w:eastAsia="Calibri" w:hAnsi="Times New Roman" w:cs="Times New Roman"/>
          <w:sz w:val="24"/>
          <w:szCs w:val="24"/>
          <w:lang w:val="en-GB"/>
        </w:rPr>
        <w:t xml:space="preserve">the results </w:t>
      </w:r>
      <w:r w:rsidR="00153FE8">
        <w:rPr>
          <w:rFonts w:ascii="Times New Roman" w:eastAsia="Calibri" w:hAnsi="Times New Roman" w:cs="Times New Roman"/>
          <w:sz w:val="24"/>
          <w:szCs w:val="24"/>
          <w:lang w:val="en-GB"/>
        </w:rPr>
        <w:t>found</w:t>
      </w:r>
      <w:r w:rsidRPr="00DD0B43">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in each of the proposed </w:t>
      </w:r>
      <w:r w:rsidRPr="00DD0B43">
        <w:rPr>
          <w:rFonts w:ascii="Times New Roman" w:eastAsia="Calibri" w:hAnsi="Times New Roman" w:cs="Times New Roman"/>
          <w:sz w:val="24"/>
          <w:szCs w:val="24"/>
          <w:lang w:val="en-GB"/>
        </w:rPr>
        <w:t>hypothes</w:t>
      </w:r>
      <w:r>
        <w:rPr>
          <w:rFonts w:ascii="Times New Roman" w:eastAsia="Calibri" w:hAnsi="Times New Roman" w:cs="Times New Roman"/>
          <w:sz w:val="24"/>
          <w:szCs w:val="24"/>
          <w:lang w:val="en-GB"/>
        </w:rPr>
        <w:t>e</w:t>
      </w:r>
      <w:r w:rsidRPr="00DD0B43">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and briefly describes </w:t>
      </w:r>
      <w:r w:rsidR="009E5EC3">
        <w:rPr>
          <w:rFonts w:ascii="Times New Roman" w:eastAsia="Calibri" w:hAnsi="Times New Roman" w:cs="Times New Roman"/>
          <w:sz w:val="24"/>
          <w:szCs w:val="24"/>
          <w:lang w:val="en-GB"/>
        </w:rPr>
        <w:t xml:space="preserve">in which </w:t>
      </w:r>
      <w:r w:rsidR="00153FE8">
        <w:rPr>
          <w:rFonts w:ascii="Times New Roman" w:eastAsia="Calibri" w:hAnsi="Times New Roman" w:cs="Times New Roman"/>
          <w:sz w:val="24"/>
          <w:szCs w:val="24"/>
          <w:lang w:val="en-GB"/>
        </w:rPr>
        <w:t>specific</w:t>
      </w:r>
      <w:r>
        <w:rPr>
          <w:rFonts w:ascii="Times New Roman" w:eastAsia="Calibri" w:hAnsi="Times New Roman" w:cs="Times New Roman"/>
          <w:sz w:val="24"/>
          <w:szCs w:val="24"/>
          <w:lang w:val="en-GB"/>
        </w:rPr>
        <w:t xml:space="preserve"> area of sustainability </w:t>
      </w:r>
      <w:r w:rsidR="00153FE8">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confirmation is obtained</w:t>
      </w:r>
      <w:r w:rsidRPr="00DD0B43">
        <w:rPr>
          <w:rFonts w:ascii="Times New Roman" w:eastAsia="Calibri" w:hAnsi="Times New Roman" w:cs="Times New Roman"/>
          <w:sz w:val="24"/>
          <w:szCs w:val="24"/>
          <w:lang w:val="en-GB"/>
        </w:rPr>
        <w:t>.</w:t>
      </w:r>
    </w:p>
    <w:p w14:paraId="372246C7" w14:textId="77777777" w:rsidR="001D0B27" w:rsidRPr="00F06DCE" w:rsidRDefault="001D0B27" w:rsidP="001D0B27">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39020E98" w14:textId="3DC00F0A" w:rsidR="001D0B27" w:rsidRPr="00F06DCE" w:rsidRDefault="001D0B27" w:rsidP="001D0B27">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 xml:space="preserve">Insert </w:t>
      </w:r>
      <w:r>
        <w:rPr>
          <w:rFonts w:ascii="Times New Roman" w:hAnsi="Times New Roman" w:cs="Times New Roman"/>
          <w:sz w:val="24"/>
          <w:szCs w:val="24"/>
          <w:lang w:val="en-GB"/>
        </w:rPr>
        <w:t>Table</w:t>
      </w:r>
      <w:r w:rsidRPr="00F06DCE">
        <w:rPr>
          <w:rFonts w:ascii="Times New Roman" w:hAnsi="Times New Roman" w:cs="Times New Roman"/>
          <w:sz w:val="24"/>
          <w:szCs w:val="24"/>
          <w:lang w:val="en-GB"/>
        </w:rPr>
        <w:t xml:space="preserve"> </w:t>
      </w:r>
      <w:r>
        <w:rPr>
          <w:rFonts w:ascii="Times New Roman" w:hAnsi="Times New Roman" w:cs="Times New Roman"/>
          <w:sz w:val="24"/>
          <w:szCs w:val="24"/>
          <w:lang w:val="en-GB"/>
        </w:rPr>
        <w:t>5</w:t>
      </w:r>
      <w:r w:rsidRPr="00F06DCE">
        <w:rPr>
          <w:rFonts w:ascii="Times New Roman" w:hAnsi="Times New Roman" w:cs="Times New Roman"/>
          <w:sz w:val="24"/>
          <w:szCs w:val="24"/>
          <w:lang w:val="en-GB"/>
        </w:rPr>
        <w:t xml:space="preserve"> about here</w:t>
      </w:r>
    </w:p>
    <w:p w14:paraId="1EF6AFF1" w14:textId="77777777" w:rsidR="001D0B27" w:rsidRPr="00F06DCE" w:rsidRDefault="001D0B27" w:rsidP="001D0B27">
      <w:pPr>
        <w:spacing w:after="200" w:line="360" w:lineRule="auto"/>
        <w:jc w:val="center"/>
        <w:rPr>
          <w:rFonts w:ascii="Times New Roman" w:hAnsi="Times New Roman" w:cs="Times New Roman"/>
          <w:sz w:val="24"/>
          <w:szCs w:val="24"/>
          <w:lang w:val="en-GB"/>
        </w:rPr>
      </w:pPr>
      <w:r w:rsidRPr="00F06DCE">
        <w:rPr>
          <w:rFonts w:ascii="Times New Roman" w:hAnsi="Times New Roman" w:cs="Times New Roman"/>
          <w:sz w:val="24"/>
          <w:szCs w:val="24"/>
          <w:lang w:val="en-GB"/>
        </w:rPr>
        <w:t>------------------------------------</w:t>
      </w:r>
    </w:p>
    <w:p w14:paraId="77157D14" w14:textId="62BAF83C" w:rsidR="0079069D" w:rsidRDefault="0079069D" w:rsidP="0079069D">
      <w:pPr>
        <w:spacing w:line="480" w:lineRule="auto"/>
        <w:jc w:val="both"/>
        <w:rPr>
          <w:rFonts w:ascii="Times New Roman" w:eastAsia="Calibri" w:hAnsi="Times New Roman" w:cs="Times New Roman"/>
          <w:sz w:val="24"/>
          <w:szCs w:val="24"/>
          <w:lang w:val="en-GB"/>
        </w:rPr>
      </w:pPr>
      <w:r w:rsidRPr="009A6AAF">
        <w:rPr>
          <w:rFonts w:ascii="Times New Roman" w:eastAsia="Calibri" w:hAnsi="Times New Roman" w:cs="Times New Roman"/>
          <w:sz w:val="24"/>
          <w:szCs w:val="24"/>
          <w:lang w:val="en-GB"/>
        </w:rPr>
        <w:t>We conducted several analyses to examine the robustness of these estimations. We first examined the</w:t>
      </w:r>
      <w:r>
        <w:rPr>
          <w:rFonts w:ascii="Times New Roman" w:eastAsia="Calibri" w:hAnsi="Times New Roman" w:cs="Times New Roman"/>
          <w:sz w:val="24"/>
          <w:szCs w:val="24"/>
          <w:lang w:val="en-GB"/>
        </w:rPr>
        <w:t xml:space="preserve"> hypotheses</w:t>
      </w:r>
      <w:r w:rsidRPr="00346ECF">
        <w:rPr>
          <w:rFonts w:ascii="Times New Roman" w:eastAsia="Calibri" w:hAnsi="Times New Roman" w:cs="Times New Roman"/>
          <w:sz w:val="24"/>
          <w:szCs w:val="24"/>
          <w:lang w:val="en-GB"/>
        </w:rPr>
        <w:t xml:space="preserve"> using a</w:t>
      </w:r>
      <w:r>
        <w:rPr>
          <w:rFonts w:ascii="Times New Roman" w:eastAsia="Calibri" w:hAnsi="Times New Roman" w:cs="Times New Roman"/>
          <w:sz w:val="24"/>
          <w:szCs w:val="24"/>
          <w:lang w:val="en-GB"/>
        </w:rPr>
        <w:t>lternative performance measures. In particular, we employed the return on sales (ROS) for the financial performance and earnings per share (EPS) for the market performance, obtaining similar results. Also, we extracted a subsample of 250 dyadic relationships using a random sampling procedure, and performed again the different analysis, with the results being consistent with th</w:t>
      </w:r>
      <w:r w:rsidR="00BD0CB3">
        <w:rPr>
          <w:rFonts w:ascii="Times New Roman" w:eastAsia="Calibri" w:hAnsi="Times New Roman" w:cs="Times New Roman"/>
          <w:sz w:val="24"/>
          <w:szCs w:val="24"/>
          <w:lang w:val="en-GB"/>
        </w:rPr>
        <w:t>ose</w:t>
      </w:r>
      <w:r>
        <w:rPr>
          <w:rFonts w:ascii="Times New Roman" w:eastAsia="Calibri" w:hAnsi="Times New Roman" w:cs="Times New Roman"/>
          <w:sz w:val="24"/>
          <w:szCs w:val="24"/>
          <w:lang w:val="en-GB"/>
        </w:rPr>
        <w:t xml:space="preserve"> obtained for the entire sample. </w:t>
      </w:r>
      <w:r w:rsidR="00960FF5">
        <w:rPr>
          <w:rFonts w:ascii="Times New Roman" w:eastAsia="Calibri" w:hAnsi="Times New Roman" w:cs="Times New Roman"/>
          <w:sz w:val="24"/>
          <w:szCs w:val="24"/>
          <w:lang w:val="en-GB"/>
        </w:rPr>
        <w:t>In addition, we ran test</w:t>
      </w:r>
      <w:r w:rsidR="00DC144A">
        <w:rPr>
          <w:rFonts w:ascii="Times New Roman" w:eastAsia="Calibri" w:hAnsi="Times New Roman" w:cs="Times New Roman"/>
          <w:sz w:val="24"/>
          <w:szCs w:val="24"/>
          <w:lang w:val="en-GB"/>
        </w:rPr>
        <w:t>s</w:t>
      </w:r>
      <w:r w:rsidR="00960FF5">
        <w:rPr>
          <w:rFonts w:ascii="Times New Roman" w:eastAsia="Calibri" w:hAnsi="Times New Roman" w:cs="Times New Roman"/>
          <w:sz w:val="24"/>
          <w:szCs w:val="24"/>
          <w:lang w:val="en-GB"/>
        </w:rPr>
        <w:t xml:space="preserve"> for </w:t>
      </w:r>
      <w:r w:rsidR="00DC144A">
        <w:rPr>
          <w:rFonts w:ascii="Times New Roman" w:eastAsia="Calibri" w:hAnsi="Times New Roman" w:cs="Times New Roman"/>
          <w:sz w:val="24"/>
          <w:szCs w:val="24"/>
          <w:lang w:val="en-GB"/>
        </w:rPr>
        <w:t xml:space="preserve">different </w:t>
      </w:r>
      <w:r w:rsidR="00960FF5">
        <w:rPr>
          <w:rFonts w:ascii="Times New Roman" w:eastAsia="Calibri" w:hAnsi="Times New Roman" w:cs="Times New Roman"/>
          <w:sz w:val="24"/>
          <w:szCs w:val="24"/>
          <w:lang w:val="en-GB"/>
        </w:rPr>
        <w:t>mean</w:t>
      </w:r>
      <w:r w:rsidR="00DC144A">
        <w:rPr>
          <w:rFonts w:ascii="Times New Roman" w:eastAsia="Calibri" w:hAnsi="Times New Roman" w:cs="Times New Roman"/>
          <w:sz w:val="24"/>
          <w:szCs w:val="24"/>
          <w:lang w:val="en-GB"/>
        </w:rPr>
        <w:t xml:space="preserve">s </w:t>
      </w:r>
      <w:r w:rsidR="00031C0D">
        <w:rPr>
          <w:rFonts w:ascii="Times New Roman" w:eastAsia="Calibri" w:hAnsi="Times New Roman" w:cs="Times New Roman"/>
          <w:sz w:val="24"/>
          <w:szCs w:val="24"/>
          <w:lang w:val="en-GB"/>
        </w:rPr>
        <w:t>between the sustainability</w:t>
      </w:r>
      <w:r w:rsidR="00DC144A">
        <w:rPr>
          <w:rFonts w:ascii="Times New Roman" w:eastAsia="Calibri" w:hAnsi="Times New Roman" w:cs="Times New Roman"/>
          <w:sz w:val="24"/>
          <w:szCs w:val="24"/>
          <w:lang w:val="en-GB"/>
        </w:rPr>
        <w:t xml:space="preserve"> approaches</w:t>
      </w:r>
      <w:r w:rsidR="00031C0D">
        <w:rPr>
          <w:rFonts w:ascii="Times New Roman" w:eastAsia="Calibri" w:hAnsi="Times New Roman" w:cs="Times New Roman"/>
          <w:sz w:val="24"/>
          <w:szCs w:val="24"/>
          <w:lang w:val="en-GB"/>
        </w:rPr>
        <w:t>, obtaining that profitability turn</w:t>
      </w:r>
      <w:r w:rsidR="00BD0CB3">
        <w:rPr>
          <w:rFonts w:ascii="Times New Roman" w:eastAsia="Calibri" w:hAnsi="Times New Roman" w:cs="Times New Roman"/>
          <w:sz w:val="24"/>
          <w:szCs w:val="24"/>
          <w:lang w:val="en-GB"/>
        </w:rPr>
        <w:t>s</w:t>
      </w:r>
      <w:r w:rsidR="00031C0D">
        <w:rPr>
          <w:rFonts w:ascii="Times New Roman" w:eastAsia="Calibri" w:hAnsi="Times New Roman" w:cs="Times New Roman"/>
          <w:sz w:val="24"/>
          <w:szCs w:val="24"/>
          <w:lang w:val="en-GB"/>
        </w:rPr>
        <w:t xml:space="preserve"> to significant downsize over time when buyer firms </w:t>
      </w:r>
      <w:r w:rsidR="006B1BD2">
        <w:rPr>
          <w:rFonts w:ascii="Times New Roman" w:eastAsia="Calibri" w:hAnsi="Times New Roman" w:cs="Times New Roman"/>
          <w:sz w:val="24"/>
          <w:szCs w:val="24"/>
          <w:lang w:val="en-GB"/>
        </w:rPr>
        <w:t>adopt</w:t>
      </w:r>
      <w:r w:rsidR="00031C0D">
        <w:rPr>
          <w:rFonts w:ascii="Times New Roman" w:eastAsia="Calibri" w:hAnsi="Times New Roman" w:cs="Times New Roman"/>
          <w:sz w:val="24"/>
          <w:szCs w:val="24"/>
          <w:lang w:val="en-GB"/>
        </w:rPr>
        <w:t xml:space="preserve"> </w:t>
      </w:r>
      <w:r w:rsidR="006B1BD2">
        <w:rPr>
          <w:rFonts w:ascii="Times New Roman" w:eastAsia="Calibri" w:hAnsi="Times New Roman" w:cs="Times New Roman"/>
          <w:sz w:val="24"/>
          <w:szCs w:val="24"/>
          <w:lang w:val="en-GB"/>
        </w:rPr>
        <w:t>a</w:t>
      </w:r>
      <w:r w:rsidR="00031C0D">
        <w:rPr>
          <w:rFonts w:ascii="Times New Roman" w:eastAsia="Calibri" w:hAnsi="Times New Roman" w:cs="Times New Roman"/>
          <w:sz w:val="24"/>
          <w:szCs w:val="24"/>
          <w:lang w:val="en-GB"/>
        </w:rPr>
        <w:t xml:space="preserve"> greening approach. </w:t>
      </w:r>
      <w:r>
        <w:rPr>
          <w:rFonts w:ascii="Times New Roman" w:eastAsia="Calibri" w:hAnsi="Times New Roman" w:cs="Times New Roman"/>
          <w:sz w:val="24"/>
          <w:szCs w:val="24"/>
          <w:lang w:val="en-GB"/>
        </w:rPr>
        <w:t xml:space="preserve">Therefore, </w:t>
      </w:r>
      <w:r w:rsidRPr="00346ECF">
        <w:rPr>
          <w:rFonts w:ascii="Times New Roman" w:eastAsia="Calibri" w:hAnsi="Times New Roman" w:cs="Times New Roman"/>
          <w:sz w:val="24"/>
          <w:szCs w:val="24"/>
          <w:lang w:val="en-GB"/>
        </w:rPr>
        <w:t xml:space="preserve">our findings are considered highly robust as they remain consistent across </w:t>
      </w:r>
      <w:r>
        <w:rPr>
          <w:rFonts w:ascii="Times New Roman" w:eastAsia="Calibri" w:hAnsi="Times New Roman" w:cs="Times New Roman"/>
          <w:sz w:val="24"/>
          <w:szCs w:val="24"/>
          <w:lang w:val="en-GB"/>
        </w:rPr>
        <w:t xml:space="preserve">the </w:t>
      </w:r>
      <w:r w:rsidRPr="00346ECF">
        <w:rPr>
          <w:rFonts w:ascii="Times New Roman" w:eastAsia="Calibri" w:hAnsi="Times New Roman" w:cs="Times New Roman"/>
          <w:sz w:val="24"/>
          <w:szCs w:val="24"/>
          <w:lang w:val="en-GB"/>
        </w:rPr>
        <w:t>different alternative</w:t>
      </w:r>
      <w:r w:rsidR="000A33E4">
        <w:rPr>
          <w:rFonts w:ascii="Times New Roman" w:eastAsia="Calibri" w:hAnsi="Times New Roman" w:cs="Times New Roman"/>
          <w:sz w:val="24"/>
          <w:szCs w:val="24"/>
          <w:lang w:val="en-GB"/>
        </w:rPr>
        <w:t>s</w:t>
      </w:r>
      <w:r w:rsidRPr="00346ECF">
        <w:rPr>
          <w:rFonts w:ascii="Times New Roman" w:eastAsia="Calibri" w:hAnsi="Times New Roman" w:cs="Times New Roman"/>
          <w:sz w:val="24"/>
          <w:szCs w:val="24"/>
          <w:lang w:val="en-GB"/>
        </w:rPr>
        <w:t xml:space="preserve"> introduced in the assessment.</w:t>
      </w:r>
    </w:p>
    <w:p w14:paraId="0DD87948" w14:textId="77777777" w:rsidR="00BA6922" w:rsidRDefault="00BA6922">
      <w:pPr>
        <w:rPr>
          <w:lang w:val="en-GB"/>
        </w:rPr>
      </w:pPr>
    </w:p>
    <w:p w14:paraId="375CC1C4" w14:textId="7195F44F" w:rsidR="007C3FC3" w:rsidRPr="0078687F" w:rsidRDefault="007C3FC3" w:rsidP="007C3FC3">
      <w:pPr>
        <w:spacing w:line="480" w:lineRule="auto"/>
        <w:jc w:val="both"/>
        <w:rPr>
          <w:rFonts w:ascii="Times New Roman" w:eastAsia="Calibri" w:hAnsi="Times New Roman" w:cs="Times New Roman"/>
          <w:b/>
          <w:sz w:val="24"/>
          <w:szCs w:val="26"/>
          <w:lang w:val="en-GB"/>
        </w:rPr>
      </w:pPr>
      <w:r>
        <w:rPr>
          <w:rFonts w:ascii="Times New Roman" w:eastAsia="Calibri" w:hAnsi="Times New Roman" w:cs="Times New Roman"/>
          <w:b/>
          <w:sz w:val="24"/>
          <w:szCs w:val="26"/>
          <w:lang w:val="en-GB"/>
        </w:rPr>
        <w:t>5</w:t>
      </w:r>
      <w:r w:rsidRPr="0078687F">
        <w:rPr>
          <w:rFonts w:ascii="Times New Roman" w:eastAsia="Calibri" w:hAnsi="Times New Roman" w:cs="Times New Roman"/>
          <w:b/>
          <w:sz w:val="24"/>
          <w:szCs w:val="26"/>
          <w:lang w:val="en-GB"/>
        </w:rPr>
        <w:t xml:space="preserve">. </w:t>
      </w:r>
      <w:r w:rsidR="00A514A2">
        <w:rPr>
          <w:rFonts w:ascii="Times New Roman" w:eastAsia="Calibri" w:hAnsi="Times New Roman" w:cs="Times New Roman"/>
          <w:b/>
          <w:sz w:val="24"/>
          <w:szCs w:val="26"/>
          <w:lang w:val="en-GB"/>
        </w:rPr>
        <w:t>D</w:t>
      </w:r>
      <w:r w:rsidR="00D1660C">
        <w:rPr>
          <w:rFonts w:ascii="Times New Roman" w:eastAsia="Calibri" w:hAnsi="Times New Roman" w:cs="Times New Roman"/>
          <w:b/>
          <w:sz w:val="24"/>
          <w:szCs w:val="26"/>
          <w:lang w:val="en-GB"/>
        </w:rPr>
        <w:t xml:space="preserve">iscussion </w:t>
      </w:r>
    </w:p>
    <w:p w14:paraId="7822F5B5" w14:textId="2AC718D7" w:rsidR="00744A91" w:rsidRDefault="00744A91" w:rsidP="007C3FC3">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In this section, we discuss the theoretical and managerial implications of our findings. In particular, </w:t>
      </w:r>
      <w:r w:rsidR="008550E5">
        <w:rPr>
          <w:rFonts w:ascii="Times New Roman" w:eastAsia="Calibri" w:hAnsi="Times New Roman" w:cs="Times New Roman"/>
          <w:sz w:val="24"/>
          <w:szCs w:val="24"/>
          <w:lang w:val="en-GB"/>
        </w:rPr>
        <w:t xml:space="preserve">we </w:t>
      </w:r>
      <w:r w:rsidR="008550E5">
        <w:rPr>
          <w:rFonts w:ascii="Times New Roman" w:eastAsia="Calibri" w:hAnsi="Times New Roman" w:cs="Times New Roman"/>
          <w:sz w:val="24"/>
          <w:szCs w:val="24"/>
          <w:lang w:val="en-GB"/>
        </w:rPr>
        <w:t>build</w:t>
      </w:r>
      <w:r w:rsidR="008550E5">
        <w:rPr>
          <w:rFonts w:ascii="Times New Roman" w:eastAsia="Calibri" w:hAnsi="Times New Roman" w:cs="Times New Roman"/>
          <w:sz w:val="24"/>
          <w:szCs w:val="24"/>
          <w:lang w:val="en-GB"/>
        </w:rPr>
        <w:t xml:space="preserve"> on the important finding that asymmetries do not have a negative impact on performance necessarily. Moreover, </w:t>
      </w:r>
      <w:r>
        <w:rPr>
          <w:rFonts w:ascii="Times New Roman" w:eastAsia="Calibri" w:hAnsi="Times New Roman" w:cs="Times New Roman"/>
          <w:sz w:val="24"/>
          <w:szCs w:val="24"/>
          <w:lang w:val="en-GB"/>
        </w:rPr>
        <w:t xml:space="preserve">we explain why environmental and social asymmetries have different effects on the buyer’s financial and market performance. Additionally, we analyse the </w:t>
      </w:r>
      <w:r w:rsidR="008550E5">
        <w:rPr>
          <w:rFonts w:ascii="Times New Roman" w:eastAsia="Calibri" w:hAnsi="Times New Roman" w:cs="Times New Roman"/>
          <w:sz w:val="24"/>
          <w:szCs w:val="24"/>
          <w:lang w:val="en-GB"/>
        </w:rPr>
        <w:t xml:space="preserve">diverse results within several dimensions of </w:t>
      </w:r>
      <w:r>
        <w:rPr>
          <w:rFonts w:ascii="Times New Roman" w:eastAsia="Calibri" w:hAnsi="Times New Roman" w:cs="Times New Roman"/>
          <w:sz w:val="24"/>
          <w:szCs w:val="24"/>
          <w:lang w:val="en-GB"/>
        </w:rPr>
        <w:t>environmental asymmetries.</w:t>
      </w:r>
    </w:p>
    <w:p w14:paraId="4CE7DAC4" w14:textId="7BB491B6" w:rsidR="000A5625" w:rsidRPr="006104F6" w:rsidRDefault="00822314" w:rsidP="000A5625">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Firstly, </w:t>
      </w:r>
      <w:r w:rsidR="000A5625">
        <w:rPr>
          <w:rFonts w:ascii="Times New Roman" w:eastAsia="Calibri" w:hAnsi="Times New Roman" w:cs="Times New Roman"/>
          <w:sz w:val="24"/>
          <w:szCs w:val="24"/>
          <w:lang w:val="en-GB"/>
        </w:rPr>
        <w:t>contrary to earlier studies, our findings suggest that sustainability asymmetries may have a positive effect on financial performance. C</w:t>
      </w:r>
      <w:r w:rsidR="007751AC">
        <w:rPr>
          <w:rFonts w:ascii="Times New Roman" w:eastAsia="Calibri" w:hAnsi="Times New Roman" w:cs="Times New Roman"/>
          <w:sz w:val="24"/>
          <w:szCs w:val="24"/>
          <w:lang w:val="en-GB"/>
        </w:rPr>
        <w:t>ontrasting our results with the literature on supply chain alignment</w:t>
      </w:r>
      <w:r w:rsidR="007751AC">
        <w:rPr>
          <w:rFonts w:ascii="Times New Roman" w:eastAsia="Calibri" w:hAnsi="Times New Roman" w:cs="Times New Roman"/>
          <w:sz w:val="24"/>
          <w:szCs w:val="24"/>
          <w:lang w:val="en-GB"/>
        </w:rPr>
        <w:t xml:space="preserve">, </w:t>
      </w:r>
      <w:r w:rsidR="007751AC">
        <w:rPr>
          <w:rFonts w:ascii="Times New Roman" w:eastAsia="Calibri" w:hAnsi="Times New Roman" w:cs="Times New Roman"/>
          <w:sz w:val="24"/>
          <w:szCs w:val="24"/>
          <w:lang w:val="en-GB"/>
        </w:rPr>
        <w:t xml:space="preserve">our study </w:t>
      </w:r>
      <w:r>
        <w:rPr>
          <w:rFonts w:ascii="Times New Roman" w:eastAsia="Calibri" w:hAnsi="Times New Roman" w:cs="Times New Roman"/>
          <w:sz w:val="24"/>
          <w:szCs w:val="24"/>
          <w:lang w:val="en-GB"/>
        </w:rPr>
        <w:t xml:space="preserve">contradicts </w:t>
      </w:r>
      <w:r w:rsidR="00534740">
        <w:rPr>
          <w:rFonts w:ascii="Times New Roman" w:eastAsia="Calibri" w:hAnsi="Times New Roman" w:cs="Times New Roman"/>
          <w:sz w:val="24"/>
          <w:szCs w:val="24"/>
          <w:lang w:val="en-GB"/>
        </w:rPr>
        <w:t xml:space="preserve">assumptions that supply chain </w:t>
      </w:r>
      <w:r w:rsidR="00A329BF">
        <w:rPr>
          <w:rFonts w:ascii="Times New Roman" w:eastAsia="Calibri" w:hAnsi="Times New Roman" w:cs="Times New Roman"/>
          <w:sz w:val="24"/>
          <w:szCs w:val="24"/>
          <w:lang w:val="en-GB"/>
        </w:rPr>
        <w:t>mis</w:t>
      </w:r>
      <w:r w:rsidR="00534740">
        <w:rPr>
          <w:rFonts w:ascii="Times New Roman" w:eastAsia="Calibri" w:hAnsi="Times New Roman" w:cs="Times New Roman"/>
          <w:sz w:val="24"/>
          <w:szCs w:val="24"/>
          <w:lang w:val="en-GB"/>
        </w:rPr>
        <w:t>alignment is always</w:t>
      </w:r>
      <w:r w:rsidR="00534740">
        <w:rPr>
          <w:rFonts w:ascii="Times New Roman" w:eastAsia="Calibri" w:hAnsi="Times New Roman" w:cs="Times New Roman"/>
          <w:sz w:val="24"/>
          <w:szCs w:val="24"/>
          <w:lang w:val="en-GB"/>
        </w:rPr>
        <w:t xml:space="preserve"> </w:t>
      </w:r>
      <w:r w:rsidR="00A329BF">
        <w:rPr>
          <w:rFonts w:ascii="Times New Roman" w:eastAsia="Calibri" w:hAnsi="Times New Roman" w:cs="Times New Roman"/>
          <w:sz w:val="24"/>
          <w:szCs w:val="24"/>
          <w:lang w:val="en-GB"/>
        </w:rPr>
        <w:t>negative</w:t>
      </w:r>
      <w:r w:rsidR="007751AC">
        <w:rPr>
          <w:rFonts w:ascii="Times New Roman" w:eastAsia="Calibri" w:hAnsi="Times New Roman" w:cs="Times New Roman"/>
          <w:sz w:val="24"/>
          <w:szCs w:val="24"/>
          <w:lang w:val="en-GB"/>
        </w:rPr>
        <w:t xml:space="preserve"> (e.g. </w:t>
      </w:r>
      <w:proofErr w:type="spellStart"/>
      <w:r w:rsidR="007751AC">
        <w:rPr>
          <w:rFonts w:ascii="Times New Roman" w:eastAsia="Calibri" w:hAnsi="Times New Roman" w:cs="Times New Roman"/>
          <w:sz w:val="24"/>
          <w:szCs w:val="24"/>
          <w:lang w:val="en-GB"/>
        </w:rPr>
        <w:t>Blome</w:t>
      </w:r>
      <w:proofErr w:type="spellEnd"/>
      <w:r w:rsidR="007751AC">
        <w:rPr>
          <w:rFonts w:ascii="Times New Roman" w:eastAsia="Calibri" w:hAnsi="Times New Roman" w:cs="Times New Roman"/>
          <w:sz w:val="24"/>
          <w:szCs w:val="24"/>
          <w:lang w:val="en-GB"/>
        </w:rPr>
        <w:t xml:space="preserve"> et al., 201</w:t>
      </w:r>
      <w:r w:rsidR="00C36BCA">
        <w:rPr>
          <w:rFonts w:ascii="Times New Roman" w:eastAsia="Calibri" w:hAnsi="Times New Roman" w:cs="Times New Roman"/>
          <w:sz w:val="24"/>
          <w:szCs w:val="24"/>
          <w:lang w:val="en-GB"/>
        </w:rPr>
        <w:t>4</w:t>
      </w:r>
      <w:r w:rsidR="007751AC">
        <w:rPr>
          <w:rFonts w:ascii="Times New Roman" w:eastAsia="Calibri" w:hAnsi="Times New Roman" w:cs="Times New Roman"/>
          <w:sz w:val="24"/>
          <w:szCs w:val="24"/>
          <w:lang w:val="en-GB"/>
        </w:rPr>
        <w:t xml:space="preserve">; Ahmed and </w:t>
      </w:r>
      <w:proofErr w:type="spellStart"/>
      <w:r w:rsidR="007751AC">
        <w:rPr>
          <w:rFonts w:ascii="Times New Roman" w:eastAsia="Calibri" w:hAnsi="Times New Roman" w:cs="Times New Roman"/>
          <w:sz w:val="24"/>
          <w:szCs w:val="24"/>
          <w:lang w:val="en-GB"/>
        </w:rPr>
        <w:t>Shafiki</w:t>
      </w:r>
      <w:proofErr w:type="spellEnd"/>
      <w:r w:rsidR="007751AC">
        <w:rPr>
          <w:rFonts w:ascii="Times New Roman" w:eastAsia="Calibri" w:hAnsi="Times New Roman" w:cs="Times New Roman"/>
          <w:sz w:val="24"/>
          <w:szCs w:val="24"/>
          <w:lang w:val="en-GB"/>
        </w:rPr>
        <w:t>, 2022</w:t>
      </w:r>
      <w:r w:rsidR="007751AC">
        <w:rPr>
          <w:rFonts w:ascii="Times New Roman" w:eastAsia="Calibri" w:hAnsi="Times New Roman" w:cs="Times New Roman"/>
          <w:sz w:val="24"/>
          <w:szCs w:val="24"/>
          <w:lang w:val="en-GB"/>
        </w:rPr>
        <w:t>; Jia et al., 2021</w:t>
      </w:r>
      <w:r w:rsidR="007751AC">
        <w:rPr>
          <w:rFonts w:ascii="Times New Roman" w:eastAsia="Calibri" w:hAnsi="Times New Roman" w:cs="Times New Roman"/>
          <w:sz w:val="24"/>
          <w:szCs w:val="24"/>
          <w:lang w:val="en-GB"/>
        </w:rPr>
        <w:t>)</w:t>
      </w:r>
      <w:r w:rsidR="00534740">
        <w:rPr>
          <w:rFonts w:ascii="Times New Roman" w:eastAsia="Calibri" w:hAnsi="Times New Roman" w:cs="Times New Roman"/>
          <w:sz w:val="24"/>
          <w:szCs w:val="24"/>
          <w:lang w:val="en-GB"/>
        </w:rPr>
        <w:t>.</w:t>
      </w:r>
      <w:r w:rsidR="007751AC">
        <w:rPr>
          <w:rFonts w:ascii="Times New Roman" w:eastAsia="Calibri" w:hAnsi="Times New Roman" w:cs="Times New Roman"/>
          <w:sz w:val="24"/>
          <w:szCs w:val="24"/>
          <w:lang w:val="en-GB"/>
        </w:rPr>
        <w:t xml:space="preserve">  </w:t>
      </w:r>
      <w:r w:rsidR="007751AC">
        <w:rPr>
          <w:rFonts w:ascii="Times New Roman" w:hAnsi="Times New Roman" w:cs="Times New Roman"/>
          <w:sz w:val="24"/>
          <w:szCs w:val="24"/>
          <w:lang w:val="en-US"/>
        </w:rPr>
        <w:t>In fact</w:t>
      </w:r>
      <w:r w:rsidR="00534740">
        <w:rPr>
          <w:rFonts w:ascii="Times New Roman" w:hAnsi="Times New Roman" w:cs="Times New Roman"/>
          <w:sz w:val="24"/>
          <w:szCs w:val="24"/>
          <w:lang w:val="en-US"/>
        </w:rPr>
        <w:t xml:space="preserve">, </w:t>
      </w:r>
      <w:r w:rsidR="00D20314">
        <w:rPr>
          <w:rFonts w:ascii="Times New Roman" w:hAnsi="Times New Roman" w:cs="Times New Roman"/>
          <w:sz w:val="24"/>
          <w:szCs w:val="24"/>
          <w:lang w:val="en-US"/>
        </w:rPr>
        <w:t xml:space="preserve">our </w:t>
      </w:r>
      <w:r w:rsidR="00534740">
        <w:rPr>
          <w:rFonts w:ascii="Times New Roman" w:hAnsi="Times New Roman" w:cs="Times New Roman"/>
          <w:sz w:val="24"/>
          <w:szCs w:val="24"/>
          <w:lang w:val="en-US"/>
        </w:rPr>
        <w:t xml:space="preserve">results suggest </w:t>
      </w:r>
      <w:r w:rsidR="00A329BF">
        <w:rPr>
          <w:rFonts w:ascii="Times New Roman" w:hAnsi="Times New Roman" w:cs="Times New Roman"/>
          <w:sz w:val="24"/>
          <w:szCs w:val="24"/>
          <w:lang w:val="en-US"/>
        </w:rPr>
        <w:t xml:space="preserve">the opposite - </w:t>
      </w:r>
      <w:r w:rsidR="00534740">
        <w:rPr>
          <w:rFonts w:ascii="Times New Roman" w:hAnsi="Times New Roman" w:cs="Times New Roman"/>
          <w:sz w:val="24"/>
          <w:szCs w:val="24"/>
          <w:lang w:val="en-US"/>
        </w:rPr>
        <w:t xml:space="preserve">that </w:t>
      </w:r>
      <w:r w:rsidR="00A329BF">
        <w:rPr>
          <w:rFonts w:ascii="Times New Roman" w:hAnsi="Times New Roman" w:cs="Times New Roman"/>
          <w:sz w:val="24"/>
          <w:szCs w:val="24"/>
          <w:lang w:val="en-US"/>
        </w:rPr>
        <w:t xml:space="preserve">buyer-supplier </w:t>
      </w:r>
      <w:r w:rsidR="00A329BF">
        <w:rPr>
          <w:rFonts w:ascii="Times New Roman" w:hAnsi="Times New Roman" w:cs="Times New Roman"/>
          <w:sz w:val="24"/>
          <w:szCs w:val="24"/>
          <w:lang w:val="en-US"/>
        </w:rPr>
        <w:t>asymmetries</w:t>
      </w:r>
      <w:r w:rsidR="00534740">
        <w:rPr>
          <w:rFonts w:ascii="Times New Roman" w:hAnsi="Times New Roman" w:cs="Times New Roman"/>
          <w:sz w:val="24"/>
          <w:szCs w:val="24"/>
          <w:lang w:val="en-US"/>
        </w:rPr>
        <w:t xml:space="preserve"> may lead to </w:t>
      </w:r>
      <w:r w:rsidR="00A329BF">
        <w:rPr>
          <w:rFonts w:ascii="Times New Roman" w:hAnsi="Times New Roman" w:cs="Times New Roman"/>
          <w:sz w:val="24"/>
          <w:szCs w:val="24"/>
          <w:lang w:val="en-US"/>
        </w:rPr>
        <w:t>positive</w:t>
      </w:r>
      <w:r w:rsidR="00534740">
        <w:rPr>
          <w:rFonts w:ascii="Times New Roman" w:hAnsi="Times New Roman" w:cs="Times New Roman"/>
          <w:sz w:val="24"/>
          <w:szCs w:val="24"/>
          <w:lang w:val="en-US"/>
        </w:rPr>
        <w:t xml:space="preserve"> </w:t>
      </w:r>
      <w:r w:rsidR="007751AC">
        <w:rPr>
          <w:rFonts w:ascii="Times New Roman" w:hAnsi="Times New Roman" w:cs="Times New Roman"/>
          <w:sz w:val="24"/>
          <w:szCs w:val="24"/>
          <w:lang w:val="en-US"/>
        </w:rPr>
        <w:t>outputs</w:t>
      </w:r>
      <w:r w:rsidR="00534740">
        <w:rPr>
          <w:rFonts w:ascii="Times New Roman" w:hAnsi="Times New Roman" w:cs="Times New Roman"/>
          <w:sz w:val="24"/>
          <w:szCs w:val="24"/>
          <w:lang w:val="en-US"/>
        </w:rPr>
        <w:t>.</w:t>
      </w:r>
      <w:r w:rsidR="00D20314">
        <w:rPr>
          <w:rFonts w:ascii="Times New Roman" w:hAnsi="Times New Roman" w:cs="Times New Roman"/>
          <w:sz w:val="24"/>
          <w:szCs w:val="24"/>
          <w:lang w:val="en-US"/>
        </w:rPr>
        <w:t xml:space="preserve"> </w:t>
      </w:r>
      <w:r w:rsidR="007751AC">
        <w:rPr>
          <w:rFonts w:ascii="Times New Roman" w:hAnsi="Times New Roman" w:cs="Times New Roman"/>
          <w:sz w:val="24"/>
          <w:szCs w:val="24"/>
          <w:lang w:val="en-US"/>
        </w:rPr>
        <w:t xml:space="preserve">This can be explained </w:t>
      </w:r>
      <w:r w:rsidR="007751AC">
        <w:rPr>
          <w:rFonts w:ascii="Times New Roman" w:hAnsi="Times New Roman" w:cs="Times New Roman"/>
          <w:sz w:val="24"/>
          <w:szCs w:val="24"/>
          <w:lang w:val="en-US"/>
        </w:rPr>
        <w:t xml:space="preserve">by the specialization and reputational arguments in the hypothesis section. </w:t>
      </w:r>
      <w:r w:rsidR="000A5625">
        <w:rPr>
          <w:rFonts w:ascii="Times New Roman" w:eastAsia="Calibri" w:hAnsi="Times New Roman" w:cs="Times New Roman"/>
          <w:sz w:val="24"/>
          <w:szCs w:val="24"/>
          <w:lang w:val="en-GB"/>
        </w:rPr>
        <w:t>A</w:t>
      </w:r>
      <w:r w:rsidR="000A5625" w:rsidRPr="006104F6">
        <w:rPr>
          <w:rFonts w:ascii="Times New Roman" w:eastAsia="Calibri" w:hAnsi="Times New Roman" w:cs="Times New Roman"/>
          <w:sz w:val="24"/>
          <w:szCs w:val="24"/>
          <w:lang w:val="en-GB"/>
        </w:rPr>
        <w:t>symmetry allows specialization of each supply chain member in specific competitive dimensions,</w:t>
      </w:r>
      <w:r w:rsidR="000A5625">
        <w:rPr>
          <w:rFonts w:ascii="Times New Roman" w:eastAsia="Calibri" w:hAnsi="Times New Roman" w:cs="Times New Roman"/>
          <w:sz w:val="24"/>
          <w:szCs w:val="24"/>
          <w:lang w:val="en-GB"/>
        </w:rPr>
        <w:t xml:space="preserve"> and allows firms to reap the benefits of a higher reputation obtained by other firms in the supply chain.</w:t>
      </w:r>
    </w:p>
    <w:p w14:paraId="0196BB44" w14:textId="3E1DA031" w:rsidR="000D0805" w:rsidRDefault="000D0805" w:rsidP="0026673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respect to the reputational argument, our study is in line with </w:t>
      </w:r>
      <w:proofErr w:type="spellStart"/>
      <w:r>
        <w:rPr>
          <w:rFonts w:ascii="Times New Roman" w:hAnsi="Times New Roman" w:cs="Times New Roman"/>
          <w:sz w:val="24"/>
          <w:szCs w:val="24"/>
          <w:lang w:val="en-US"/>
        </w:rPr>
        <w:t>Busse</w:t>
      </w:r>
      <w:proofErr w:type="spellEnd"/>
      <w:r>
        <w:rPr>
          <w:rFonts w:ascii="Times New Roman" w:hAnsi="Times New Roman" w:cs="Times New Roman"/>
          <w:sz w:val="24"/>
          <w:szCs w:val="24"/>
          <w:lang w:val="en-US"/>
        </w:rPr>
        <w:t xml:space="preserve"> (2016)</w:t>
      </w:r>
      <w:r>
        <w:rPr>
          <w:rFonts w:ascii="Times New Roman" w:hAnsi="Times New Roman" w:cs="Times New Roman"/>
          <w:sz w:val="24"/>
          <w:szCs w:val="24"/>
          <w:lang w:val="en-US"/>
        </w:rPr>
        <w:t>, who recognizes “</w:t>
      </w:r>
      <w:r w:rsidRPr="000D0805">
        <w:rPr>
          <w:rFonts w:ascii="Times New Roman" w:hAnsi="Times New Roman" w:cs="Times New Roman"/>
          <w:sz w:val="24"/>
          <w:szCs w:val="24"/>
          <w:lang w:val="en-US"/>
        </w:rPr>
        <w:t xml:space="preserve">promotion-induced benefits of the supplier’s </w:t>
      </w:r>
      <w:r w:rsidR="0081750C">
        <w:rPr>
          <w:rFonts w:ascii="Times New Roman" w:hAnsi="Times New Roman" w:cs="Times New Roman"/>
          <w:sz w:val="24"/>
          <w:szCs w:val="24"/>
          <w:lang w:val="en-US"/>
        </w:rPr>
        <w:t>sust</w:t>
      </w:r>
      <w:r w:rsidR="00A945D6">
        <w:rPr>
          <w:rFonts w:ascii="Times New Roman" w:hAnsi="Times New Roman" w:cs="Times New Roman"/>
          <w:sz w:val="24"/>
          <w:szCs w:val="24"/>
          <w:lang w:val="en-US"/>
        </w:rPr>
        <w:t>ainability-related conditions</w:t>
      </w:r>
      <w:r>
        <w:rPr>
          <w:rFonts w:ascii="Times New Roman" w:hAnsi="Times New Roman" w:cs="Times New Roman"/>
          <w:sz w:val="24"/>
          <w:szCs w:val="24"/>
          <w:lang w:val="en-US"/>
        </w:rPr>
        <w:t xml:space="preserve"> </w:t>
      </w:r>
      <w:r w:rsidRPr="000D0805">
        <w:rPr>
          <w:rFonts w:ascii="Times New Roman" w:hAnsi="Times New Roman" w:cs="Times New Roman"/>
          <w:sz w:val="24"/>
          <w:szCs w:val="24"/>
          <w:lang w:val="en-US"/>
        </w:rPr>
        <w:t>that accrue to the buyer</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occurring for example </w:t>
      </w:r>
      <w:r>
        <w:rPr>
          <w:rFonts w:ascii="Times New Roman" w:hAnsi="Times New Roman" w:cs="Times New Roman"/>
          <w:sz w:val="24"/>
          <w:szCs w:val="24"/>
          <w:lang w:val="en-US"/>
        </w:rPr>
        <w:t xml:space="preserve">when </w:t>
      </w:r>
      <w:r w:rsidRPr="000D0805">
        <w:rPr>
          <w:rFonts w:ascii="Times New Roman" w:hAnsi="Times New Roman" w:cs="Times New Roman"/>
          <w:sz w:val="24"/>
          <w:szCs w:val="24"/>
          <w:lang w:val="en-US"/>
        </w:rPr>
        <w:t>buyer’s stakeholders reward the</w:t>
      </w:r>
      <w:r>
        <w:rPr>
          <w:rFonts w:ascii="Times New Roman" w:hAnsi="Times New Roman" w:cs="Times New Roman"/>
          <w:sz w:val="24"/>
          <w:szCs w:val="24"/>
          <w:lang w:val="en-US"/>
        </w:rPr>
        <w:t xml:space="preserve"> </w:t>
      </w:r>
      <w:r w:rsidRPr="000D0805">
        <w:rPr>
          <w:rFonts w:ascii="Times New Roman" w:hAnsi="Times New Roman" w:cs="Times New Roman"/>
          <w:sz w:val="24"/>
          <w:szCs w:val="24"/>
          <w:lang w:val="en-US"/>
        </w:rPr>
        <w:t>buyer by means of a better image or affective attachment</w:t>
      </w:r>
      <w:r>
        <w:rPr>
          <w:rFonts w:ascii="Times New Roman" w:hAnsi="Times New Roman" w:cs="Times New Roman"/>
          <w:sz w:val="24"/>
          <w:szCs w:val="24"/>
          <w:lang w:val="en-US"/>
        </w:rPr>
        <w:t xml:space="preserve">. </w:t>
      </w:r>
      <w:r w:rsidR="00266739">
        <w:rPr>
          <w:rFonts w:ascii="Times New Roman" w:hAnsi="Times New Roman" w:cs="Times New Roman"/>
          <w:sz w:val="24"/>
          <w:szCs w:val="24"/>
          <w:lang w:val="en-US"/>
        </w:rPr>
        <w:t xml:space="preserve">He argues that the buyer can benefit from this in three ways: </w:t>
      </w:r>
      <w:r w:rsidR="00266739" w:rsidRPr="00266739">
        <w:rPr>
          <w:rFonts w:ascii="Times New Roman" w:hAnsi="Times New Roman" w:cs="Times New Roman"/>
          <w:sz w:val="24"/>
          <w:szCs w:val="24"/>
          <w:lang w:val="en-US"/>
        </w:rPr>
        <w:t xml:space="preserve">direct promotion of the supplier’s </w:t>
      </w:r>
      <w:r w:rsidR="00975D93">
        <w:rPr>
          <w:rFonts w:ascii="Times New Roman" w:hAnsi="Times New Roman" w:cs="Times New Roman"/>
          <w:sz w:val="24"/>
          <w:szCs w:val="24"/>
          <w:lang w:val="en-US"/>
        </w:rPr>
        <w:t>sustainability-related conditions</w:t>
      </w:r>
      <w:r w:rsidR="00975D93">
        <w:rPr>
          <w:rFonts w:ascii="Times New Roman" w:hAnsi="Times New Roman" w:cs="Times New Roman"/>
          <w:sz w:val="24"/>
          <w:szCs w:val="24"/>
          <w:lang w:val="en-US"/>
        </w:rPr>
        <w:t xml:space="preserve"> </w:t>
      </w:r>
      <w:r w:rsidR="00266739" w:rsidRPr="00266739">
        <w:rPr>
          <w:rFonts w:ascii="Times New Roman" w:hAnsi="Times New Roman" w:cs="Times New Roman"/>
          <w:sz w:val="24"/>
          <w:szCs w:val="24"/>
          <w:lang w:val="en-US"/>
        </w:rPr>
        <w:t>by the buyer, indirect exploitation of the supplier’s</w:t>
      </w:r>
      <w:r w:rsidR="00266739">
        <w:rPr>
          <w:rFonts w:ascii="Times New Roman" w:hAnsi="Times New Roman" w:cs="Times New Roman"/>
          <w:sz w:val="24"/>
          <w:szCs w:val="24"/>
          <w:lang w:val="en-US"/>
        </w:rPr>
        <w:t xml:space="preserve"> </w:t>
      </w:r>
      <w:r w:rsidR="00975D93">
        <w:rPr>
          <w:rFonts w:ascii="Times New Roman" w:hAnsi="Times New Roman" w:cs="Times New Roman"/>
          <w:sz w:val="24"/>
          <w:szCs w:val="24"/>
          <w:lang w:val="en-US"/>
        </w:rPr>
        <w:t>sustainability-related conditions</w:t>
      </w:r>
      <w:r w:rsidR="00266739" w:rsidRPr="00266739">
        <w:rPr>
          <w:rFonts w:ascii="Times New Roman" w:hAnsi="Times New Roman" w:cs="Times New Roman"/>
          <w:sz w:val="24"/>
          <w:szCs w:val="24"/>
          <w:lang w:val="en-US"/>
        </w:rPr>
        <w:t xml:space="preserve"> through the marketing of sustainability standards of the buyer, and, finally, spillovers from the</w:t>
      </w:r>
      <w:r w:rsidR="00266739">
        <w:rPr>
          <w:rFonts w:ascii="Times New Roman" w:hAnsi="Times New Roman" w:cs="Times New Roman"/>
          <w:sz w:val="24"/>
          <w:szCs w:val="24"/>
          <w:lang w:val="en-US"/>
        </w:rPr>
        <w:t xml:space="preserve"> </w:t>
      </w:r>
      <w:r w:rsidR="00266739" w:rsidRPr="00266739">
        <w:rPr>
          <w:rFonts w:ascii="Times New Roman" w:hAnsi="Times New Roman" w:cs="Times New Roman"/>
          <w:sz w:val="24"/>
          <w:szCs w:val="24"/>
          <w:lang w:val="en-US"/>
        </w:rPr>
        <w:t>supplier’s self-promotion</w:t>
      </w:r>
      <w:r w:rsidR="00266739">
        <w:rPr>
          <w:rFonts w:ascii="Times New Roman" w:hAnsi="Times New Roman" w:cs="Times New Roman"/>
          <w:sz w:val="24"/>
          <w:szCs w:val="24"/>
          <w:lang w:val="en-US"/>
        </w:rPr>
        <w:t>.</w:t>
      </w:r>
    </w:p>
    <w:p w14:paraId="6365C14E" w14:textId="314AA170" w:rsidR="00822314" w:rsidRDefault="003E524D" w:rsidP="000D0805">
      <w:pPr>
        <w:spacing w:line="48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US"/>
        </w:rPr>
        <w:t>Res</w:t>
      </w:r>
      <w:r>
        <w:rPr>
          <w:rFonts w:ascii="Times New Roman" w:hAnsi="Times New Roman" w:cs="Times New Roman"/>
          <w:sz w:val="24"/>
          <w:szCs w:val="24"/>
          <w:lang w:val="en-US"/>
        </w:rPr>
        <w:t xml:space="preserve">ults suggest that </w:t>
      </w:r>
      <w:r w:rsidR="00463C4D">
        <w:rPr>
          <w:rFonts w:ascii="Times New Roman" w:hAnsi="Times New Roman" w:cs="Times New Roman"/>
          <w:sz w:val="24"/>
          <w:szCs w:val="24"/>
          <w:lang w:val="en-US"/>
        </w:rPr>
        <w:t>having an asymmetrical relationship is a perfectly feasible option for many firms.</w:t>
      </w:r>
      <w:r w:rsidR="00463C4D">
        <w:rPr>
          <w:rFonts w:ascii="Times New Roman" w:hAnsi="Times New Roman" w:cs="Times New Roman"/>
          <w:sz w:val="24"/>
          <w:szCs w:val="24"/>
          <w:lang w:val="en-US"/>
        </w:rPr>
        <w:t xml:space="preserve"> </w:t>
      </w:r>
      <w:r w:rsidR="00D20314">
        <w:rPr>
          <w:rFonts w:ascii="Times New Roman" w:hAnsi="Times New Roman" w:cs="Times New Roman"/>
          <w:sz w:val="24"/>
          <w:szCs w:val="24"/>
          <w:lang w:val="en-US"/>
        </w:rPr>
        <w:t>T</w:t>
      </w:r>
      <w:r w:rsidR="00D20314">
        <w:rPr>
          <w:rFonts w:ascii="Times New Roman" w:hAnsi="Times New Roman" w:cs="Times New Roman"/>
          <w:sz w:val="24"/>
          <w:szCs w:val="24"/>
          <w:lang w:val="en-US"/>
        </w:rPr>
        <w:t xml:space="preserve">his is in line with </w:t>
      </w:r>
      <w:proofErr w:type="spellStart"/>
      <w:r w:rsidR="00FF49E5" w:rsidRPr="00FF49E5">
        <w:rPr>
          <w:rFonts w:ascii="Times New Roman" w:hAnsi="Times New Roman" w:cs="Times New Roman"/>
          <w:sz w:val="24"/>
          <w:szCs w:val="24"/>
          <w:lang w:val="en-US"/>
        </w:rPr>
        <w:t>Selviaridis</w:t>
      </w:r>
      <w:proofErr w:type="spellEnd"/>
      <w:r w:rsidR="00D20314">
        <w:rPr>
          <w:rFonts w:ascii="Times New Roman" w:hAnsi="Times New Roman" w:cs="Times New Roman"/>
          <w:sz w:val="24"/>
          <w:szCs w:val="24"/>
          <w:lang w:val="en-US"/>
        </w:rPr>
        <w:t xml:space="preserve"> and Spring (2018), who argue that supply </w:t>
      </w:r>
      <w:r w:rsidR="00D20314">
        <w:rPr>
          <w:rFonts w:ascii="Times New Roman" w:hAnsi="Times New Roman" w:cs="Times New Roman"/>
          <w:sz w:val="24"/>
          <w:szCs w:val="24"/>
          <w:lang w:val="en-US"/>
        </w:rPr>
        <w:lastRenderedPageBreak/>
        <w:t>chain alignment is not instant</w:t>
      </w:r>
      <w:r w:rsidR="00D20314">
        <w:rPr>
          <w:rFonts w:ascii="Times New Roman" w:hAnsi="Times New Roman" w:cs="Times New Roman"/>
          <w:sz w:val="24"/>
          <w:szCs w:val="24"/>
          <w:lang w:val="en-US"/>
        </w:rPr>
        <w:t>aneous or linear, and is never perfect</w:t>
      </w:r>
      <w:r w:rsidR="007751AC">
        <w:rPr>
          <w:rFonts w:ascii="Times New Roman" w:hAnsi="Times New Roman" w:cs="Times New Roman"/>
          <w:sz w:val="24"/>
          <w:szCs w:val="24"/>
          <w:lang w:val="en-US"/>
        </w:rPr>
        <w:t>, because firms in supply chains often have divergent priorities</w:t>
      </w:r>
      <w:r w:rsidR="00D20314">
        <w:rPr>
          <w:rFonts w:ascii="Times New Roman" w:hAnsi="Times New Roman" w:cs="Times New Roman"/>
          <w:sz w:val="24"/>
          <w:szCs w:val="24"/>
          <w:lang w:val="en-US"/>
        </w:rPr>
        <w:t>.</w:t>
      </w:r>
      <w:r w:rsidR="00211257">
        <w:rPr>
          <w:rFonts w:ascii="Times New Roman" w:hAnsi="Times New Roman" w:cs="Times New Roman"/>
          <w:sz w:val="24"/>
          <w:szCs w:val="24"/>
          <w:lang w:val="en-US"/>
        </w:rPr>
        <w:t xml:space="preserve"> </w:t>
      </w:r>
      <w:proofErr w:type="spellStart"/>
      <w:r w:rsidR="00DD51AD">
        <w:rPr>
          <w:rFonts w:ascii="Times New Roman" w:hAnsi="Times New Roman" w:cs="Times New Roman"/>
          <w:sz w:val="24"/>
          <w:szCs w:val="24"/>
          <w:lang w:val="en-US"/>
        </w:rPr>
        <w:t>Busse</w:t>
      </w:r>
      <w:proofErr w:type="spellEnd"/>
      <w:r w:rsidR="00DD51AD">
        <w:rPr>
          <w:rFonts w:ascii="Times New Roman" w:hAnsi="Times New Roman" w:cs="Times New Roman"/>
          <w:sz w:val="24"/>
          <w:szCs w:val="24"/>
          <w:lang w:val="en-US"/>
        </w:rPr>
        <w:t xml:space="preserve"> (2016) </w:t>
      </w:r>
      <w:r w:rsidR="00DD51AD" w:rsidRPr="00DD51AD">
        <w:rPr>
          <w:rFonts w:ascii="Times New Roman" w:hAnsi="Times New Roman" w:cs="Times New Roman"/>
          <w:sz w:val="24"/>
          <w:szCs w:val="24"/>
          <w:lang w:val="en-US"/>
        </w:rPr>
        <w:t>investigates how changes in sustainability-related conditions</w:t>
      </w:r>
      <w:r w:rsidR="00DD51AD">
        <w:rPr>
          <w:rFonts w:ascii="Times New Roman" w:hAnsi="Times New Roman" w:cs="Times New Roman"/>
          <w:sz w:val="24"/>
          <w:szCs w:val="24"/>
          <w:lang w:val="en-US"/>
        </w:rPr>
        <w:t xml:space="preserve"> </w:t>
      </w:r>
      <w:r w:rsidR="00DD51AD" w:rsidRPr="00DD51AD">
        <w:rPr>
          <w:rFonts w:ascii="Times New Roman" w:hAnsi="Times New Roman" w:cs="Times New Roman"/>
          <w:sz w:val="24"/>
          <w:szCs w:val="24"/>
          <w:lang w:val="en-US"/>
        </w:rPr>
        <w:t>at a supplier influence buyers’ economic performance</w:t>
      </w:r>
      <w:r w:rsidR="00DD51AD">
        <w:rPr>
          <w:rFonts w:ascii="Times New Roman" w:hAnsi="Times New Roman" w:cs="Times New Roman"/>
          <w:sz w:val="24"/>
          <w:szCs w:val="24"/>
          <w:lang w:val="en-US"/>
        </w:rPr>
        <w:t>.</w:t>
      </w:r>
      <w:r w:rsidR="00DD51AD">
        <w:rPr>
          <w:rFonts w:ascii="Times New Roman" w:hAnsi="Times New Roman" w:cs="Times New Roman"/>
          <w:sz w:val="24"/>
          <w:szCs w:val="24"/>
          <w:lang w:val="en-US"/>
        </w:rPr>
        <w:t xml:space="preserve"> He argues that there is an inherent trade-off in supplier</w:t>
      </w:r>
      <w:r w:rsidR="00DD51AD">
        <w:rPr>
          <w:rFonts w:ascii="Times New Roman" w:hAnsi="Times New Roman" w:cs="Times New Roman"/>
          <w:sz w:val="24"/>
          <w:szCs w:val="24"/>
          <w:lang w:val="en-US"/>
        </w:rPr>
        <w:t>’s sustainability initiatives that may compromise the buyer economic performance</w:t>
      </w:r>
      <w:r w:rsidR="00BE107B">
        <w:rPr>
          <w:rFonts w:ascii="Times New Roman" w:hAnsi="Times New Roman" w:cs="Times New Roman"/>
          <w:sz w:val="24"/>
          <w:szCs w:val="24"/>
          <w:lang w:val="en-US"/>
        </w:rPr>
        <w:t xml:space="preserve">: </w:t>
      </w:r>
      <w:r w:rsidR="00DD51AD">
        <w:rPr>
          <w:rFonts w:ascii="Times New Roman" w:hAnsi="Times New Roman" w:cs="Times New Roman"/>
          <w:sz w:val="24"/>
          <w:szCs w:val="24"/>
          <w:lang w:val="en-US"/>
        </w:rPr>
        <w:t>“</w:t>
      </w:r>
      <w:r w:rsidR="00DD51AD" w:rsidRPr="00DD51AD">
        <w:rPr>
          <w:rFonts w:ascii="Times New Roman" w:hAnsi="Times New Roman" w:cs="Times New Roman"/>
          <w:sz w:val="24"/>
          <w:szCs w:val="24"/>
          <w:lang w:val="en-US"/>
        </w:rPr>
        <w:t>The better</w:t>
      </w:r>
      <w:r w:rsidR="00DD51AD">
        <w:rPr>
          <w:rFonts w:ascii="Times New Roman" w:hAnsi="Times New Roman" w:cs="Times New Roman"/>
          <w:sz w:val="24"/>
          <w:szCs w:val="24"/>
          <w:lang w:val="en-US"/>
        </w:rPr>
        <w:t xml:space="preserve"> </w:t>
      </w:r>
      <w:r w:rsidR="00DD51AD" w:rsidRPr="00DD51AD">
        <w:rPr>
          <w:rFonts w:ascii="Times New Roman" w:hAnsi="Times New Roman" w:cs="Times New Roman"/>
          <w:sz w:val="24"/>
          <w:szCs w:val="24"/>
          <w:lang w:val="en-US"/>
        </w:rPr>
        <w:t>the sustainability-related conditions, the higher the</w:t>
      </w:r>
      <w:r w:rsidR="00DD51AD">
        <w:rPr>
          <w:rFonts w:ascii="Times New Roman" w:hAnsi="Times New Roman" w:cs="Times New Roman"/>
          <w:sz w:val="24"/>
          <w:szCs w:val="24"/>
          <w:lang w:val="en-US"/>
        </w:rPr>
        <w:t xml:space="preserve"> </w:t>
      </w:r>
      <w:r w:rsidR="00DD51AD" w:rsidRPr="00DD51AD">
        <w:rPr>
          <w:rFonts w:ascii="Times New Roman" w:hAnsi="Times New Roman" w:cs="Times New Roman"/>
          <w:sz w:val="24"/>
          <w:szCs w:val="24"/>
          <w:lang w:val="en-US"/>
        </w:rPr>
        <w:t>purchasing costs. The higher the purchasing costs,</w:t>
      </w:r>
      <w:r w:rsidR="00DD51AD">
        <w:rPr>
          <w:rFonts w:ascii="Times New Roman" w:hAnsi="Times New Roman" w:cs="Times New Roman"/>
          <w:sz w:val="24"/>
          <w:szCs w:val="24"/>
          <w:lang w:val="en-US"/>
        </w:rPr>
        <w:t xml:space="preserve"> </w:t>
      </w:r>
      <w:r w:rsidR="00DD51AD" w:rsidRPr="00DD51AD">
        <w:rPr>
          <w:rFonts w:ascii="Times New Roman" w:hAnsi="Times New Roman" w:cs="Times New Roman"/>
          <w:sz w:val="24"/>
          <w:szCs w:val="24"/>
          <w:lang w:val="en-US"/>
        </w:rPr>
        <w:t>the lower the buyer’s performance</w:t>
      </w:r>
      <w:r w:rsidR="00DD51AD">
        <w:rPr>
          <w:rFonts w:ascii="Times New Roman" w:hAnsi="Times New Roman" w:cs="Times New Roman"/>
          <w:sz w:val="24"/>
          <w:szCs w:val="24"/>
          <w:lang w:val="en-US"/>
        </w:rPr>
        <w:t>” (</w:t>
      </w:r>
      <w:proofErr w:type="spellStart"/>
      <w:r w:rsidR="00DD51AD">
        <w:rPr>
          <w:rFonts w:ascii="Times New Roman" w:hAnsi="Times New Roman" w:cs="Times New Roman"/>
          <w:sz w:val="24"/>
          <w:szCs w:val="24"/>
          <w:lang w:val="en-US"/>
        </w:rPr>
        <w:t>Busse</w:t>
      </w:r>
      <w:proofErr w:type="spellEnd"/>
      <w:r w:rsidR="00DD51AD">
        <w:rPr>
          <w:rFonts w:ascii="Times New Roman" w:hAnsi="Times New Roman" w:cs="Times New Roman"/>
          <w:sz w:val="24"/>
          <w:szCs w:val="24"/>
          <w:lang w:val="en-US"/>
        </w:rPr>
        <w:t>, 2016</w:t>
      </w:r>
      <w:r w:rsidR="00BE107B">
        <w:rPr>
          <w:rFonts w:ascii="Times New Roman" w:hAnsi="Times New Roman" w:cs="Times New Roman"/>
          <w:sz w:val="24"/>
          <w:szCs w:val="24"/>
          <w:lang w:val="en-US"/>
        </w:rPr>
        <w:t xml:space="preserve">, </w:t>
      </w:r>
      <w:r w:rsidR="00975D93">
        <w:rPr>
          <w:rFonts w:ascii="Times New Roman" w:hAnsi="Times New Roman" w:cs="Times New Roman"/>
          <w:sz w:val="24"/>
          <w:szCs w:val="24"/>
          <w:lang w:val="en-US"/>
        </w:rPr>
        <w:t>p</w:t>
      </w:r>
      <w:r w:rsidR="00BE107B">
        <w:rPr>
          <w:rFonts w:ascii="Times New Roman" w:hAnsi="Times New Roman" w:cs="Times New Roman"/>
          <w:sz w:val="24"/>
          <w:szCs w:val="24"/>
          <w:lang w:val="en-US"/>
        </w:rPr>
        <w:t>. 36</w:t>
      </w:r>
      <w:r w:rsidR="00DD51AD">
        <w:rPr>
          <w:rFonts w:ascii="Times New Roman" w:hAnsi="Times New Roman" w:cs="Times New Roman"/>
          <w:sz w:val="24"/>
          <w:szCs w:val="24"/>
          <w:lang w:val="en-US"/>
        </w:rPr>
        <w:t>)</w:t>
      </w:r>
      <w:r w:rsidR="00DD51AD" w:rsidRPr="00DD51AD">
        <w:rPr>
          <w:rFonts w:ascii="Times New Roman" w:hAnsi="Times New Roman" w:cs="Times New Roman"/>
          <w:sz w:val="24"/>
          <w:szCs w:val="24"/>
          <w:lang w:val="en-US"/>
        </w:rPr>
        <w:t>.</w:t>
      </w:r>
    </w:p>
    <w:p w14:paraId="2D4BAB44" w14:textId="2D3F4BDB" w:rsidR="007C3FC3" w:rsidRPr="00873B4D" w:rsidRDefault="00534740" w:rsidP="007C3FC3">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Second</w:t>
      </w:r>
      <w:r>
        <w:rPr>
          <w:rFonts w:ascii="Times New Roman" w:eastAsia="Calibri" w:hAnsi="Times New Roman" w:cs="Times New Roman"/>
          <w:sz w:val="24"/>
          <w:szCs w:val="24"/>
          <w:lang w:val="en-GB"/>
        </w:rPr>
        <w:t xml:space="preserve">ly, </w:t>
      </w:r>
      <w:r w:rsidR="005E7C52">
        <w:rPr>
          <w:rFonts w:ascii="Times New Roman" w:eastAsia="Calibri" w:hAnsi="Times New Roman" w:cs="Times New Roman"/>
          <w:sz w:val="24"/>
          <w:szCs w:val="24"/>
          <w:lang w:val="en-GB"/>
        </w:rPr>
        <w:t xml:space="preserve">our results are in </w:t>
      </w:r>
      <w:r w:rsidR="00FF49E5">
        <w:rPr>
          <w:rFonts w:ascii="Times New Roman" w:eastAsia="Calibri" w:hAnsi="Times New Roman" w:cs="Times New Roman"/>
          <w:sz w:val="24"/>
          <w:szCs w:val="24"/>
          <w:lang w:val="en-GB"/>
        </w:rPr>
        <w:t>line</w:t>
      </w:r>
      <w:r w:rsidR="005E7C52">
        <w:rPr>
          <w:rFonts w:ascii="Times New Roman" w:eastAsia="Calibri" w:hAnsi="Times New Roman" w:cs="Times New Roman"/>
          <w:sz w:val="24"/>
          <w:szCs w:val="24"/>
          <w:lang w:val="en-GB"/>
        </w:rPr>
        <w:t xml:space="preserve"> with </w:t>
      </w:r>
      <w:r w:rsidR="005E7C52">
        <w:rPr>
          <w:rFonts w:ascii="Times New Roman" w:eastAsia="Calibri" w:hAnsi="Times New Roman" w:cs="Times New Roman"/>
          <w:sz w:val="24"/>
          <w:szCs w:val="24"/>
          <w:lang w:val="en-GB"/>
        </w:rPr>
        <w:t xml:space="preserve">recent </w:t>
      </w:r>
      <w:r w:rsidR="005E7C52">
        <w:rPr>
          <w:rFonts w:ascii="Times New Roman" w:eastAsia="Calibri" w:hAnsi="Times New Roman" w:cs="Times New Roman"/>
          <w:sz w:val="24"/>
          <w:szCs w:val="24"/>
          <w:lang w:val="en-GB"/>
        </w:rPr>
        <w:t>studies</w:t>
      </w:r>
      <w:r w:rsidR="007C3FC3" w:rsidRPr="00873B4D">
        <w:rPr>
          <w:rFonts w:ascii="Times New Roman" w:eastAsia="Calibri" w:hAnsi="Times New Roman" w:cs="Times New Roman"/>
          <w:sz w:val="24"/>
          <w:szCs w:val="24"/>
          <w:lang w:val="en-GB"/>
        </w:rPr>
        <w:t xml:space="preserve"> </w:t>
      </w:r>
      <w:r w:rsidR="005E7C52">
        <w:rPr>
          <w:rFonts w:ascii="Times New Roman" w:eastAsia="Calibri" w:hAnsi="Times New Roman" w:cs="Times New Roman"/>
          <w:sz w:val="24"/>
          <w:szCs w:val="24"/>
          <w:lang w:val="en-GB"/>
        </w:rPr>
        <w:t xml:space="preserve">that </w:t>
      </w:r>
      <w:r w:rsidR="007C3FC3" w:rsidRPr="00873B4D">
        <w:rPr>
          <w:rFonts w:ascii="Times New Roman" w:eastAsia="Calibri" w:hAnsi="Times New Roman" w:cs="Times New Roman"/>
          <w:sz w:val="24"/>
          <w:szCs w:val="24"/>
          <w:lang w:val="en-GB"/>
        </w:rPr>
        <w:t xml:space="preserve">consider </w:t>
      </w:r>
      <w:r w:rsidR="005E7C52">
        <w:rPr>
          <w:rFonts w:ascii="Times New Roman" w:eastAsia="Calibri" w:hAnsi="Times New Roman" w:cs="Times New Roman"/>
          <w:sz w:val="24"/>
          <w:szCs w:val="24"/>
          <w:lang w:val="en-GB"/>
        </w:rPr>
        <w:t xml:space="preserve">that </w:t>
      </w:r>
      <w:r w:rsidR="005E7C52" w:rsidRPr="00543B25">
        <w:rPr>
          <w:rFonts w:ascii="Times New Roman" w:eastAsia="Calibri" w:hAnsi="Times New Roman" w:cs="Times New Roman"/>
          <w:sz w:val="24"/>
          <w:szCs w:val="24"/>
          <w:lang w:val="en-GB"/>
        </w:rPr>
        <w:t>social and environmental aspects within supply chains should be treated separa</w:t>
      </w:r>
      <w:r w:rsidR="001C66C3">
        <w:rPr>
          <w:rFonts w:ascii="Times New Roman" w:eastAsia="Calibri" w:hAnsi="Times New Roman" w:cs="Times New Roman"/>
          <w:sz w:val="24"/>
          <w:szCs w:val="24"/>
          <w:lang w:val="en-GB"/>
        </w:rPr>
        <w:t>tely</w:t>
      </w:r>
      <w:r w:rsidR="00251DB1">
        <w:rPr>
          <w:rFonts w:ascii="Times New Roman" w:eastAsia="Calibri" w:hAnsi="Times New Roman" w:cs="Times New Roman"/>
          <w:sz w:val="24"/>
          <w:szCs w:val="24"/>
          <w:lang w:val="en-GB"/>
        </w:rPr>
        <w:t>, because of</w:t>
      </w:r>
      <w:r w:rsidR="00251DB1">
        <w:rPr>
          <w:rFonts w:ascii="Times New Roman" w:eastAsia="Calibri" w:hAnsi="Times New Roman" w:cs="Times New Roman"/>
          <w:sz w:val="24"/>
          <w:szCs w:val="24"/>
          <w:lang w:val="en-GB"/>
        </w:rPr>
        <w:t xml:space="preserve"> their different nature</w:t>
      </w:r>
      <w:r w:rsidR="005E7C52">
        <w:rPr>
          <w:rFonts w:ascii="Times New Roman" w:eastAsia="Calibri" w:hAnsi="Times New Roman" w:cs="Times New Roman"/>
          <w:sz w:val="24"/>
          <w:szCs w:val="24"/>
          <w:lang w:val="en-GB"/>
        </w:rPr>
        <w:t xml:space="preserve"> (</w:t>
      </w:r>
      <w:r w:rsidR="001C66C3">
        <w:rPr>
          <w:rFonts w:ascii="Times New Roman" w:eastAsia="Calibri" w:hAnsi="Times New Roman" w:cs="Times New Roman"/>
          <w:sz w:val="24"/>
          <w:szCs w:val="24"/>
          <w:lang w:val="en-GB"/>
        </w:rPr>
        <w:t>Lopez and Rocio-Benitez, 2020</w:t>
      </w:r>
      <w:r w:rsidR="005B5842">
        <w:rPr>
          <w:rFonts w:ascii="Times New Roman" w:eastAsia="Calibri" w:hAnsi="Times New Roman" w:cs="Times New Roman"/>
          <w:sz w:val="24"/>
          <w:szCs w:val="24"/>
          <w:lang w:val="en-GB"/>
        </w:rPr>
        <w:t xml:space="preserve">; </w:t>
      </w:r>
      <w:proofErr w:type="spellStart"/>
      <w:r w:rsidR="005B5842">
        <w:rPr>
          <w:rFonts w:ascii="Times New Roman" w:eastAsia="Calibri" w:hAnsi="Times New Roman" w:cs="Times New Roman"/>
          <w:sz w:val="24"/>
          <w:szCs w:val="24"/>
          <w:lang w:val="en-GB"/>
        </w:rPr>
        <w:t>Villena</w:t>
      </w:r>
      <w:proofErr w:type="spellEnd"/>
      <w:r w:rsidR="005B5842">
        <w:rPr>
          <w:rFonts w:ascii="Times New Roman" w:eastAsia="Calibri" w:hAnsi="Times New Roman" w:cs="Times New Roman"/>
          <w:sz w:val="24"/>
          <w:szCs w:val="24"/>
          <w:lang w:val="en-GB"/>
        </w:rPr>
        <w:t xml:space="preserve"> et al., 2021</w:t>
      </w:r>
      <w:r w:rsidR="005E7C52">
        <w:rPr>
          <w:rFonts w:ascii="Times New Roman" w:eastAsia="Calibri" w:hAnsi="Times New Roman" w:cs="Times New Roman"/>
          <w:sz w:val="24"/>
          <w:szCs w:val="24"/>
          <w:lang w:val="en-GB"/>
        </w:rPr>
        <w:t>)</w:t>
      </w:r>
      <w:r w:rsidR="007C3FC3" w:rsidRPr="00873B4D">
        <w:rPr>
          <w:rFonts w:ascii="Times New Roman" w:eastAsia="Calibri" w:hAnsi="Times New Roman" w:cs="Times New Roman"/>
          <w:sz w:val="24"/>
          <w:szCs w:val="24"/>
          <w:lang w:val="en-GB"/>
        </w:rPr>
        <w:t>.</w:t>
      </w:r>
      <w:r w:rsidR="00543B25" w:rsidRPr="00543B25">
        <w:rPr>
          <w:rFonts w:ascii="Times New Roman" w:eastAsia="Calibri" w:hAnsi="Times New Roman" w:cs="Times New Roman"/>
          <w:sz w:val="24"/>
          <w:szCs w:val="24"/>
          <w:lang w:val="en-GB"/>
        </w:rPr>
        <w:t xml:space="preserve"> </w:t>
      </w:r>
      <w:r w:rsidR="005E7C52">
        <w:rPr>
          <w:rFonts w:ascii="Times New Roman" w:eastAsia="Calibri" w:hAnsi="Times New Roman" w:cs="Times New Roman"/>
          <w:sz w:val="24"/>
          <w:szCs w:val="24"/>
          <w:lang w:val="en-GB"/>
        </w:rPr>
        <w:t>In particular</w:t>
      </w:r>
      <w:r w:rsidR="007C3FC3" w:rsidRPr="00873B4D">
        <w:rPr>
          <w:rFonts w:ascii="Times New Roman" w:eastAsia="Calibri" w:hAnsi="Times New Roman" w:cs="Times New Roman"/>
          <w:sz w:val="24"/>
          <w:szCs w:val="24"/>
          <w:lang w:val="en-GB"/>
        </w:rPr>
        <w:t xml:space="preserve">, </w:t>
      </w:r>
      <w:r w:rsidR="007C3FC3">
        <w:rPr>
          <w:rFonts w:ascii="Times New Roman" w:eastAsia="Calibri" w:hAnsi="Times New Roman" w:cs="Times New Roman"/>
          <w:sz w:val="24"/>
          <w:szCs w:val="24"/>
          <w:lang w:val="en-GB"/>
        </w:rPr>
        <w:t>o</w:t>
      </w:r>
      <w:r w:rsidR="007C3FC3" w:rsidRPr="00873B4D">
        <w:rPr>
          <w:rFonts w:ascii="Times New Roman" w:eastAsia="Calibri" w:hAnsi="Times New Roman" w:cs="Times New Roman"/>
          <w:sz w:val="24"/>
          <w:szCs w:val="24"/>
          <w:lang w:val="en-GB"/>
        </w:rPr>
        <w:t xml:space="preserve">ur data analysis </w:t>
      </w:r>
      <w:r w:rsidR="007C3FC3">
        <w:rPr>
          <w:rFonts w:ascii="Times New Roman" w:eastAsia="Calibri" w:hAnsi="Times New Roman" w:cs="Times New Roman"/>
          <w:sz w:val="24"/>
          <w:szCs w:val="24"/>
          <w:lang w:val="en-GB"/>
        </w:rPr>
        <w:t>identified</w:t>
      </w:r>
      <w:r w:rsidR="007C3FC3" w:rsidRPr="00873B4D">
        <w:rPr>
          <w:rFonts w:ascii="Times New Roman" w:eastAsia="Calibri" w:hAnsi="Times New Roman" w:cs="Times New Roman"/>
          <w:sz w:val="24"/>
          <w:szCs w:val="24"/>
          <w:lang w:val="en-GB"/>
        </w:rPr>
        <w:t xml:space="preserve"> that</w:t>
      </w:r>
      <w:r w:rsidR="004E7AB8">
        <w:rPr>
          <w:rFonts w:ascii="Times New Roman" w:eastAsia="Calibri" w:hAnsi="Times New Roman" w:cs="Times New Roman"/>
          <w:sz w:val="24"/>
          <w:szCs w:val="24"/>
          <w:lang w:val="en-GB"/>
        </w:rPr>
        <w:t>,</w:t>
      </w:r>
      <w:r w:rsidR="007C3FC3" w:rsidRPr="00873B4D">
        <w:rPr>
          <w:rFonts w:ascii="Times New Roman" w:eastAsia="Calibri" w:hAnsi="Times New Roman" w:cs="Times New Roman"/>
          <w:sz w:val="24"/>
          <w:szCs w:val="24"/>
          <w:lang w:val="en-GB"/>
        </w:rPr>
        <w:t xml:space="preserve"> whereas environmental asymmetries have direct effects on </w:t>
      </w:r>
      <w:r w:rsidR="007C3FC3">
        <w:rPr>
          <w:rFonts w:ascii="Times New Roman" w:eastAsia="Calibri" w:hAnsi="Times New Roman" w:cs="Times New Roman"/>
          <w:sz w:val="24"/>
          <w:szCs w:val="24"/>
          <w:lang w:val="en-GB"/>
        </w:rPr>
        <w:t xml:space="preserve">financial </w:t>
      </w:r>
      <w:r w:rsidR="003B4E4A">
        <w:rPr>
          <w:rFonts w:ascii="Times New Roman" w:eastAsia="Calibri" w:hAnsi="Times New Roman" w:cs="Times New Roman"/>
          <w:sz w:val="24"/>
          <w:szCs w:val="24"/>
          <w:lang w:val="en-GB"/>
        </w:rPr>
        <w:t xml:space="preserve">and market </w:t>
      </w:r>
      <w:r w:rsidR="007C3FC3" w:rsidRPr="00873B4D">
        <w:rPr>
          <w:rFonts w:ascii="Times New Roman" w:eastAsia="Calibri" w:hAnsi="Times New Roman" w:cs="Times New Roman"/>
          <w:sz w:val="24"/>
          <w:szCs w:val="24"/>
          <w:lang w:val="en-GB"/>
        </w:rPr>
        <w:t xml:space="preserve">performance, </w:t>
      </w:r>
      <w:r w:rsidR="00A54A09">
        <w:rPr>
          <w:rFonts w:ascii="Times New Roman" w:eastAsia="Calibri" w:hAnsi="Times New Roman" w:cs="Times New Roman"/>
          <w:sz w:val="24"/>
          <w:szCs w:val="24"/>
          <w:lang w:val="en-GB"/>
        </w:rPr>
        <w:t xml:space="preserve">the same is not necessarily valid for </w:t>
      </w:r>
      <w:r w:rsidR="007C3FC3" w:rsidRPr="00873B4D">
        <w:rPr>
          <w:rFonts w:ascii="Times New Roman" w:eastAsia="Calibri" w:hAnsi="Times New Roman" w:cs="Times New Roman"/>
          <w:sz w:val="24"/>
          <w:szCs w:val="24"/>
          <w:lang w:val="en-GB"/>
        </w:rPr>
        <w:t>social asymmetries.</w:t>
      </w:r>
      <w:r w:rsidR="004270F7">
        <w:rPr>
          <w:rFonts w:ascii="Times New Roman" w:eastAsia="Calibri" w:hAnsi="Times New Roman" w:cs="Times New Roman"/>
          <w:sz w:val="24"/>
          <w:szCs w:val="24"/>
          <w:lang w:val="en-GB"/>
        </w:rPr>
        <w:t xml:space="preserve"> </w:t>
      </w:r>
      <w:r w:rsidR="005B5842">
        <w:rPr>
          <w:rFonts w:ascii="Times New Roman" w:eastAsia="Calibri" w:hAnsi="Times New Roman" w:cs="Times New Roman"/>
          <w:sz w:val="24"/>
          <w:szCs w:val="24"/>
          <w:lang w:val="en-GB"/>
        </w:rPr>
        <w:t xml:space="preserve">This is in </w:t>
      </w:r>
      <w:r w:rsidR="003E524D">
        <w:rPr>
          <w:rFonts w:ascii="Times New Roman" w:eastAsia="Calibri" w:hAnsi="Times New Roman" w:cs="Times New Roman"/>
          <w:sz w:val="24"/>
          <w:szCs w:val="24"/>
          <w:lang w:val="en-GB"/>
        </w:rPr>
        <w:t>accordance</w:t>
      </w:r>
      <w:r w:rsidR="005B5842">
        <w:rPr>
          <w:rFonts w:ascii="Times New Roman" w:eastAsia="Calibri" w:hAnsi="Times New Roman" w:cs="Times New Roman"/>
          <w:sz w:val="24"/>
          <w:szCs w:val="24"/>
          <w:lang w:val="en-GB"/>
        </w:rPr>
        <w:t xml:space="preserve"> with </w:t>
      </w:r>
      <w:proofErr w:type="spellStart"/>
      <w:r w:rsidR="005B5842">
        <w:rPr>
          <w:rFonts w:ascii="Times New Roman" w:eastAsia="Calibri" w:hAnsi="Times New Roman" w:cs="Times New Roman"/>
          <w:sz w:val="24"/>
          <w:szCs w:val="24"/>
          <w:lang w:val="en-GB"/>
        </w:rPr>
        <w:t>Villena</w:t>
      </w:r>
      <w:proofErr w:type="spellEnd"/>
      <w:r w:rsidR="005B5842">
        <w:rPr>
          <w:rFonts w:ascii="Times New Roman" w:eastAsia="Calibri" w:hAnsi="Times New Roman" w:cs="Times New Roman"/>
          <w:sz w:val="24"/>
          <w:szCs w:val="24"/>
          <w:lang w:val="en-GB"/>
        </w:rPr>
        <w:t xml:space="preserve"> et al. (2021), who argue that </w:t>
      </w:r>
      <w:r w:rsidR="005B5842" w:rsidRPr="005B5842">
        <w:rPr>
          <w:rFonts w:ascii="Times New Roman" w:eastAsia="Calibri" w:hAnsi="Times New Roman" w:cs="Times New Roman"/>
          <w:sz w:val="24"/>
          <w:szCs w:val="24"/>
          <w:lang w:val="en-GB"/>
        </w:rPr>
        <w:t>supplier social responsibility is much harder to address</w:t>
      </w:r>
      <w:r w:rsidR="005B5842">
        <w:rPr>
          <w:rFonts w:ascii="Times New Roman" w:eastAsia="Calibri" w:hAnsi="Times New Roman" w:cs="Times New Roman"/>
          <w:sz w:val="24"/>
          <w:szCs w:val="24"/>
          <w:lang w:val="en-GB"/>
        </w:rPr>
        <w:t xml:space="preserve"> than environmental issues</w:t>
      </w:r>
      <w:r w:rsidR="005B5842" w:rsidRPr="005B5842">
        <w:rPr>
          <w:rFonts w:ascii="Times New Roman" w:eastAsia="Calibri" w:hAnsi="Times New Roman" w:cs="Times New Roman"/>
          <w:sz w:val="24"/>
          <w:szCs w:val="24"/>
          <w:lang w:val="en-GB"/>
        </w:rPr>
        <w:t xml:space="preserve">. </w:t>
      </w:r>
      <w:r w:rsidR="00C56F5B">
        <w:rPr>
          <w:rFonts w:ascii="Times New Roman" w:eastAsia="Calibri" w:hAnsi="Times New Roman" w:cs="Times New Roman"/>
          <w:sz w:val="24"/>
          <w:szCs w:val="24"/>
          <w:lang w:val="en-GB"/>
        </w:rPr>
        <w:t>Several</w:t>
      </w:r>
      <w:r w:rsidR="005B5842">
        <w:rPr>
          <w:rFonts w:ascii="Times New Roman" w:eastAsia="Calibri" w:hAnsi="Times New Roman" w:cs="Times New Roman"/>
          <w:sz w:val="24"/>
          <w:szCs w:val="24"/>
          <w:lang w:val="en-GB"/>
        </w:rPr>
        <w:t xml:space="preserve"> factors </w:t>
      </w:r>
      <w:r w:rsidR="007C3FC3" w:rsidRPr="00873B4D">
        <w:rPr>
          <w:rFonts w:ascii="Times New Roman" w:eastAsia="Calibri" w:hAnsi="Times New Roman" w:cs="Times New Roman"/>
          <w:sz w:val="24"/>
          <w:szCs w:val="24"/>
          <w:lang w:val="en-GB"/>
        </w:rPr>
        <w:t xml:space="preserve">might explain </w:t>
      </w:r>
      <w:r w:rsidR="007C3FC3">
        <w:rPr>
          <w:rFonts w:ascii="Times New Roman" w:eastAsia="Calibri" w:hAnsi="Times New Roman" w:cs="Times New Roman"/>
          <w:sz w:val="24"/>
          <w:szCs w:val="24"/>
          <w:lang w:val="en-GB"/>
        </w:rPr>
        <w:t>this. For example, e</w:t>
      </w:r>
      <w:r w:rsidR="007C3FC3" w:rsidRPr="00873B4D">
        <w:rPr>
          <w:rFonts w:ascii="Times New Roman" w:eastAsia="Calibri" w:hAnsi="Times New Roman" w:cs="Times New Roman"/>
          <w:sz w:val="24"/>
          <w:szCs w:val="24"/>
          <w:lang w:val="en-GB"/>
        </w:rPr>
        <w:t xml:space="preserve">nvironmental sustainability tends to have more </w:t>
      </w:r>
      <w:r w:rsidR="007C3FC3">
        <w:rPr>
          <w:rFonts w:ascii="Times New Roman" w:eastAsia="Calibri" w:hAnsi="Times New Roman" w:cs="Times New Roman"/>
          <w:sz w:val="24"/>
          <w:szCs w:val="24"/>
          <w:lang w:val="en-GB"/>
        </w:rPr>
        <w:t>technical</w:t>
      </w:r>
      <w:r w:rsidR="007C3FC3" w:rsidRPr="00873B4D">
        <w:rPr>
          <w:rFonts w:ascii="Times New Roman" w:eastAsia="Calibri" w:hAnsi="Times New Roman" w:cs="Times New Roman"/>
          <w:sz w:val="24"/>
          <w:szCs w:val="24"/>
          <w:lang w:val="en-GB"/>
        </w:rPr>
        <w:t xml:space="preserve"> </w:t>
      </w:r>
      <w:r w:rsidR="007C3FC3">
        <w:rPr>
          <w:rFonts w:ascii="Times New Roman" w:eastAsia="Calibri" w:hAnsi="Times New Roman" w:cs="Times New Roman"/>
          <w:sz w:val="24"/>
          <w:szCs w:val="24"/>
          <w:lang w:val="en-GB"/>
        </w:rPr>
        <w:t xml:space="preserve">standards </w:t>
      </w:r>
      <w:r w:rsidR="007C3FC3" w:rsidRPr="00873B4D">
        <w:rPr>
          <w:rFonts w:ascii="Times New Roman" w:eastAsia="Calibri" w:hAnsi="Times New Roman" w:cs="Times New Roman"/>
          <w:sz w:val="24"/>
          <w:szCs w:val="24"/>
          <w:lang w:val="en-GB"/>
        </w:rPr>
        <w:t>and measurable metrics than social sustainability</w:t>
      </w:r>
      <w:r w:rsidR="007C3FC3">
        <w:rPr>
          <w:rFonts w:ascii="Times New Roman" w:eastAsia="Calibri" w:hAnsi="Times New Roman" w:cs="Times New Roman"/>
          <w:sz w:val="24"/>
          <w:szCs w:val="24"/>
          <w:lang w:val="en-GB"/>
        </w:rPr>
        <w:t xml:space="preserve">. </w:t>
      </w:r>
      <w:r w:rsidR="007C3FC3" w:rsidRPr="00D74DC2">
        <w:rPr>
          <w:rFonts w:ascii="Times New Roman" w:eastAsia="Calibri" w:hAnsi="Times New Roman" w:cs="Times New Roman"/>
          <w:sz w:val="24"/>
          <w:szCs w:val="24"/>
          <w:lang w:val="en-GB"/>
        </w:rPr>
        <w:t>It is also highly institutionali</w:t>
      </w:r>
      <w:r w:rsidR="00715B24">
        <w:rPr>
          <w:rFonts w:ascii="Times New Roman" w:eastAsia="Calibri" w:hAnsi="Times New Roman" w:cs="Times New Roman"/>
          <w:sz w:val="24"/>
          <w:szCs w:val="24"/>
          <w:lang w:val="en-GB"/>
        </w:rPr>
        <w:t>z</w:t>
      </w:r>
      <w:r w:rsidR="007C3FC3" w:rsidRPr="00D74DC2">
        <w:rPr>
          <w:rFonts w:ascii="Times New Roman" w:eastAsia="Calibri" w:hAnsi="Times New Roman" w:cs="Times New Roman"/>
          <w:sz w:val="24"/>
          <w:szCs w:val="24"/>
          <w:lang w:val="en-GB"/>
        </w:rPr>
        <w:t>ed</w:t>
      </w:r>
      <w:r w:rsidR="00A421C1">
        <w:rPr>
          <w:rFonts w:ascii="Times New Roman" w:eastAsia="Calibri" w:hAnsi="Times New Roman" w:cs="Times New Roman"/>
          <w:sz w:val="24"/>
          <w:szCs w:val="24"/>
          <w:lang w:val="en-GB"/>
        </w:rPr>
        <w:t xml:space="preserve"> along </w:t>
      </w:r>
      <w:r w:rsidR="00D100A6">
        <w:rPr>
          <w:rFonts w:ascii="Times New Roman" w:eastAsia="Calibri" w:hAnsi="Times New Roman" w:cs="Times New Roman"/>
          <w:sz w:val="24"/>
          <w:szCs w:val="24"/>
          <w:lang w:val="en-GB"/>
        </w:rPr>
        <w:t>society</w:t>
      </w:r>
      <w:r w:rsidR="00A421C1">
        <w:rPr>
          <w:rFonts w:ascii="Times New Roman" w:eastAsia="Calibri" w:hAnsi="Times New Roman" w:cs="Times New Roman"/>
          <w:sz w:val="24"/>
          <w:szCs w:val="24"/>
          <w:lang w:val="en-GB"/>
        </w:rPr>
        <w:t xml:space="preserve"> segments</w:t>
      </w:r>
      <w:r w:rsidR="007C3FC3" w:rsidRPr="00D74DC2">
        <w:rPr>
          <w:rFonts w:ascii="Times New Roman" w:eastAsia="Calibri" w:hAnsi="Times New Roman" w:cs="Times New Roman"/>
          <w:sz w:val="24"/>
          <w:szCs w:val="24"/>
          <w:lang w:val="en-GB"/>
        </w:rPr>
        <w:t xml:space="preserve">, especially in the reduction emission area, </w:t>
      </w:r>
      <w:r w:rsidR="00E85348">
        <w:rPr>
          <w:rFonts w:ascii="Times New Roman" w:eastAsia="Calibri" w:hAnsi="Times New Roman" w:cs="Times New Roman"/>
          <w:sz w:val="24"/>
          <w:szCs w:val="24"/>
          <w:lang w:val="en-GB"/>
        </w:rPr>
        <w:t xml:space="preserve">and is </w:t>
      </w:r>
      <w:r w:rsidR="00D74DC2">
        <w:rPr>
          <w:rFonts w:ascii="Times New Roman" w:eastAsia="Calibri" w:hAnsi="Times New Roman" w:cs="Times New Roman"/>
          <w:sz w:val="24"/>
          <w:szCs w:val="24"/>
          <w:lang w:val="en-GB"/>
        </w:rPr>
        <w:t>therefore</w:t>
      </w:r>
      <w:r w:rsidR="007C3FC3" w:rsidRPr="00D74DC2">
        <w:rPr>
          <w:rFonts w:ascii="Times New Roman" w:eastAsia="Calibri" w:hAnsi="Times New Roman" w:cs="Times New Roman"/>
          <w:sz w:val="24"/>
          <w:szCs w:val="24"/>
          <w:lang w:val="en-GB"/>
        </w:rPr>
        <w:t xml:space="preserve"> more easily </w:t>
      </w:r>
      <w:r w:rsidR="00E85348" w:rsidRPr="00D74DC2">
        <w:rPr>
          <w:rFonts w:ascii="Times New Roman" w:eastAsia="Calibri" w:hAnsi="Times New Roman" w:cs="Times New Roman"/>
          <w:sz w:val="24"/>
          <w:szCs w:val="24"/>
          <w:lang w:val="en-GB"/>
        </w:rPr>
        <w:t>scrutini</w:t>
      </w:r>
      <w:r w:rsidR="00E85348">
        <w:rPr>
          <w:rFonts w:ascii="Times New Roman" w:eastAsia="Calibri" w:hAnsi="Times New Roman" w:cs="Times New Roman"/>
          <w:sz w:val="24"/>
          <w:szCs w:val="24"/>
          <w:lang w:val="en-GB"/>
        </w:rPr>
        <w:t>z</w:t>
      </w:r>
      <w:r w:rsidR="00E85348" w:rsidRPr="00D74DC2">
        <w:rPr>
          <w:rFonts w:ascii="Times New Roman" w:eastAsia="Calibri" w:hAnsi="Times New Roman" w:cs="Times New Roman"/>
          <w:sz w:val="24"/>
          <w:szCs w:val="24"/>
          <w:lang w:val="en-GB"/>
        </w:rPr>
        <w:t>ed</w:t>
      </w:r>
      <w:r w:rsidR="00B1659B" w:rsidRPr="00D74DC2">
        <w:rPr>
          <w:rFonts w:ascii="Times New Roman" w:eastAsia="Calibri" w:hAnsi="Times New Roman" w:cs="Times New Roman"/>
          <w:sz w:val="24"/>
          <w:szCs w:val="24"/>
          <w:lang w:val="en-GB"/>
        </w:rPr>
        <w:t>,</w:t>
      </w:r>
      <w:r w:rsidR="007C3FC3" w:rsidRPr="00D74DC2">
        <w:rPr>
          <w:rFonts w:ascii="Times New Roman" w:eastAsia="Calibri" w:hAnsi="Times New Roman" w:cs="Times New Roman"/>
          <w:sz w:val="24"/>
          <w:szCs w:val="24"/>
          <w:lang w:val="en-GB"/>
        </w:rPr>
        <w:t xml:space="preserve"> even beyond a firm’s facilities.</w:t>
      </w:r>
      <w:r w:rsidR="007C3FC3" w:rsidRPr="00873B4D">
        <w:rPr>
          <w:rFonts w:ascii="Times New Roman" w:eastAsia="Calibri" w:hAnsi="Times New Roman" w:cs="Times New Roman"/>
          <w:sz w:val="24"/>
          <w:szCs w:val="24"/>
          <w:lang w:val="en-GB"/>
        </w:rPr>
        <w:t xml:space="preserve"> Accordingly, buyer firms have </w:t>
      </w:r>
      <w:r w:rsidR="009A6AAF" w:rsidRPr="00873B4D">
        <w:rPr>
          <w:rFonts w:ascii="Times New Roman" w:eastAsia="Calibri" w:hAnsi="Times New Roman" w:cs="Times New Roman"/>
          <w:sz w:val="24"/>
          <w:szCs w:val="24"/>
          <w:lang w:val="en-GB"/>
        </w:rPr>
        <w:t xml:space="preserve">to </w:t>
      </w:r>
      <w:r w:rsidR="009A6AAF">
        <w:rPr>
          <w:rFonts w:ascii="Times New Roman" w:eastAsia="Calibri" w:hAnsi="Times New Roman" w:cs="Times New Roman"/>
          <w:sz w:val="24"/>
          <w:szCs w:val="24"/>
          <w:lang w:val="en-GB"/>
        </w:rPr>
        <w:t>ensure that</w:t>
      </w:r>
      <w:r w:rsidR="007C3FC3" w:rsidRPr="00873B4D">
        <w:rPr>
          <w:rFonts w:ascii="Times New Roman" w:eastAsia="Calibri" w:hAnsi="Times New Roman" w:cs="Times New Roman"/>
          <w:sz w:val="24"/>
          <w:szCs w:val="24"/>
          <w:lang w:val="en-GB"/>
        </w:rPr>
        <w:t xml:space="preserve"> supply chains act in an aligned </w:t>
      </w:r>
      <w:r w:rsidR="007C3FC3">
        <w:rPr>
          <w:rFonts w:ascii="Times New Roman" w:eastAsia="Calibri" w:hAnsi="Times New Roman" w:cs="Times New Roman"/>
          <w:sz w:val="24"/>
          <w:szCs w:val="24"/>
          <w:lang w:val="en-GB"/>
        </w:rPr>
        <w:t>form</w:t>
      </w:r>
      <w:r w:rsidR="007C3FC3" w:rsidRPr="00873B4D">
        <w:rPr>
          <w:rFonts w:ascii="Times New Roman" w:eastAsia="Calibri" w:hAnsi="Times New Roman" w:cs="Times New Roman"/>
          <w:sz w:val="24"/>
          <w:szCs w:val="24"/>
          <w:lang w:val="en-GB"/>
        </w:rPr>
        <w:t xml:space="preserve"> with respect to their </w:t>
      </w:r>
      <w:r w:rsidR="007C3FC3">
        <w:rPr>
          <w:rFonts w:ascii="Times New Roman" w:eastAsia="Calibri" w:hAnsi="Times New Roman" w:cs="Times New Roman"/>
          <w:sz w:val="24"/>
          <w:szCs w:val="24"/>
          <w:lang w:val="en-GB"/>
        </w:rPr>
        <w:t xml:space="preserve">environmental </w:t>
      </w:r>
      <w:r w:rsidR="007C3FC3" w:rsidRPr="00873B4D">
        <w:rPr>
          <w:rFonts w:ascii="Times New Roman" w:eastAsia="Calibri" w:hAnsi="Times New Roman" w:cs="Times New Roman"/>
          <w:sz w:val="24"/>
          <w:szCs w:val="24"/>
          <w:lang w:val="en-GB"/>
        </w:rPr>
        <w:t xml:space="preserve">sustainability </w:t>
      </w:r>
      <w:r w:rsidR="007C3FC3">
        <w:rPr>
          <w:rFonts w:ascii="Times New Roman" w:eastAsia="Calibri" w:hAnsi="Times New Roman" w:cs="Times New Roman"/>
          <w:sz w:val="24"/>
          <w:szCs w:val="24"/>
          <w:lang w:val="en-GB"/>
        </w:rPr>
        <w:t>approach</w:t>
      </w:r>
      <w:r w:rsidR="007C3FC3" w:rsidRPr="00873B4D">
        <w:rPr>
          <w:rFonts w:ascii="Times New Roman" w:eastAsia="Calibri" w:hAnsi="Times New Roman" w:cs="Times New Roman"/>
          <w:sz w:val="24"/>
          <w:szCs w:val="24"/>
          <w:lang w:val="en-GB"/>
        </w:rPr>
        <w:t>, which require</w:t>
      </w:r>
      <w:r w:rsidR="007C3FC3">
        <w:rPr>
          <w:rFonts w:ascii="Times New Roman" w:eastAsia="Calibri" w:hAnsi="Times New Roman" w:cs="Times New Roman"/>
          <w:sz w:val="24"/>
          <w:szCs w:val="24"/>
          <w:lang w:val="en-GB"/>
        </w:rPr>
        <w:t>s</w:t>
      </w:r>
      <w:r w:rsidR="007C3FC3" w:rsidRPr="00873B4D">
        <w:rPr>
          <w:rFonts w:ascii="Times New Roman" w:eastAsia="Calibri" w:hAnsi="Times New Roman" w:cs="Times New Roman"/>
          <w:sz w:val="24"/>
          <w:szCs w:val="24"/>
          <w:lang w:val="en-GB"/>
        </w:rPr>
        <w:t xml:space="preserve"> coordinated efforts between </w:t>
      </w:r>
      <w:r w:rsidR="007C3FC3">
        <w:rPr>
          <w:rFonts w:ascii="Times New Roman" w:eastAsia="Calibri" w:hAnsi="Times New Roman" w:cs="Times New Roman"/>
          <w:sz w:val="24"/>
          <w:szCs w:val="24"/>
          <w:lang w:val="en-GB"/>
        </w:rPr>
        <w:t xml:space="preserve">the </w:t>
      </w:r>
      <w:r w:rsidR="007C3FC3" w:rsidRPr="00873B4D">
        <w:rPr>
          <w:rFonts w:ascii="Times New Roman" w:eastAsia="Calibri" w:hAnsi="Times New Roman" w:cs="Times New Roman"/>
          <w:sz w:val="24"/>
          <w:szCs w:val="24"/>
          <w:lang w:val="en-GB"/>
        </w:rPr>
        <w:t>buyer and suppliers</w:t>
      </w:r>
      <w:r w:rsidR="007C3FC3" w:rsidRPr="008502BE">
        <w:rPr>
          <w:rFonts w:ascii="Times New Roman" w:eastAsia="Calibri" w:hAnsi="Times New Roman" w:cs="Times New Roman"/>
          <w:sz w:val="24"/>
          <w:szCs w:val="24"/>
          <w:lang w:val="en-GB"/>
        </w:rPr>
        <w:t>.</w:t>
      </w:r>
      <w:r w:rsidR="007C3FC3">
        <w:rPr>
          <w:rFonts w:ascii="Times New Roman" w:eastAsia="Calibri" w:hAnsi="Times New Roman" w:cs="Times New Roman"/>
          <w:sz w:val="24"/>
          <w:szCs w:val="24"/>
          <w:lang w:val="en-GB"/>
        </w:rPr>
        <w:t xml:space="preserve"> S</w:t>
      </w:r>
      <w:r w:rsidR="007C3FC3" w:rsidRPr="00873B4D">
        <w:rPr>
          <w:rFonts w:ascii="Times New Roman" w:eastAsia="Calibri" w:hAnsi="Times New Roman" w:cs="Times New Roman"/>
          <w:sz w:val="24"/>
          <w:szCs w:val="24"/>
          <w:lang w:val="en-GB"/>
        </w:rPr>
        <w:t>ocial sustainability</w:t>
      </w:r>
      <w:r w:rsidR="007C3FC3">
        <w:rPr>
          <w:rFonts w:ascii="Times New Roman" w:eastAsia="Calibri" w:hAnsi="Times New Roman" w:cs="Times New Roman"/>
          <w:sz w:val="24"/>
          <w:szCs w:val="24"/>
          <w:lang w:val="en-GB"/>
        </w:rPr>
        <w:t>, in contrast,</w:t>
      </w:r>
      <w:r w:rsidR="007C3FC3" w:rsidRPr="00873B4D">
        <w:rPr>
          <w:rFonts w:ascii="Times New Roman" w:eastAsia="Calibri" w:hAnsi="Times New Roman" w:cs="Times New Roman"/>
          <w:sz w:val="24"/>
          <w:szCs w:val="24"/>
          <w:lang w:val="en-GB"/>
        </w:rPr>
        <w:t xml:space="preserve"> is more difficult to</w:t>
      </w:r>
      <w:r w:rsidR="007C3FC3">
        <w:rPr>
          <w:rFonts w:ascii="Times New Roman" w:eastAsia="Calibri" w:hAnsi="Times New Roman" w:cs="Times New Roman"/>
          <w:sz w:val="24"/>
          <w:szCs w:val="24"/>
          <w:lang w:val="en-GB"/>
        </w:rPr>
        <w:t xml:space="preserve"> </w:t>
      </w:r>
      <w:r w:rsidR="00B03363">
        <w:rPr>
          <w:rFonts w:ascii="Times New Roman" w:eastAsia="Calibri" w:hAnsi="Times New Roman" w:cs="Times New Roman"/>
          <w:sz w:val="24"/>
          <w:szCs w:val="24"/>
          <w:lang w:val="en-GB"/>
        </w:rPr>
        <w:t xml:space="preserve">be </w:t>
      </w:r>
      <w:r w:rsidR="00E85348" w:rsidRPr="00873B4D">
        <w:rPr>
          <w:rFonts w:ascii="Times New Roman" w:eastAsia="Calibri" w:hAnsi="Times New Roman" w:cs="Times New Roman"/>
          <w:sz w:val="24"/>
          <w:szCs w:val="24"/>
          <w:lang w:val="en-GB"/>
        </w:rPr>
        <w:t>asses</w:t>
      </w:r>
      <w:r w:rsidR="00E85348">
        <w:rPr>
          <w:rFonts w:ascii="Times New Roman" w:eastAsia="Calibri" w:hAnsi="Times New Roman" w:cs="Times New Roman"/>
          <w:sz w:val="24"/>
          <w:szCs w:val="24"/>
          <w:lang w:val="en-GB"/>
        </w:rPr>
        <w:t>s</w:t>
      </w:r>
      <w:r w:rsidR="00B03363">
        <w:rPr>
          <w:rFonts w:ascii="Times New Roman" w:eastAsia="Calibri" w:hAnsi="Times New Roman" w:cs="Times New Roman"/>
          <w:sz w:val="24"/>
          <w:szCs w:val="24"/>
          <w:lang w:val="en-GB"/>
        </w:rPr>
        <w:t>ed</w:t>
      </w:r>
      <w:r w:rsidR="00E85348" w:rsidRPr="00873B4D">
        <w:rPr>
          <w:rFonts w:ascii="Times New Roman" w:eastAsia="Calibri" w:hAnsi="Times New Roman" w:cs="Times New Roman"/>
          <w:sz w:val="24"/>
          <w:szCs w:val="24"/>
          <w:lang w:val="en-GB"/>
        </w:rPr>
        <w:t xml:space="preserve"> </w:t>
      </w:r>
      <w:r w:rsidR="007C3FC3" w:rsidRPr="00873B4D">
        <w:rPr>
          <w:rFonts w:ascii="Times New Roman" w:eastAsia="Calibri" w:hAnsi="Times New Roman" w:cs="Times New Roman"/>
          <w:sz w:val="24"/>
          <w:szCs w:val="24"/>
          <w:lang w:val="en-GB"/>
        </w:rPr>
        <w:t xml:space="preserve">objectively, </w:t>
      </w:r>
      <w:r w:rsidR="007C3FC3">
        <w:rPr>
          <w:rFonts w:ascii="Times New Roman" w:eastAsia="Calibri" w:hAnsi="Times New Roman" w:cs="Times New Roman"/>
          <w:sz w:val="24"/>
          <w:szCs w:val="24"/>
          <w:lang w:val="en-GB"/>
        </w:rPr>
        <w:t>being</w:t>
      </w:r>
      <w:r w:rsidR="007C3FC3" w:rsidRPr="00873B4D">
        <w:rPr>
          <w:rFonts w:ascii="Times New Roman" w:eastAsia="Calibri" w:hAnsi="Times New Roman" w:cs="Times New Roman"/>
          <w:sz w:val="24"/>
          <w:szCs w:val="24"/>
          <w:lang w:val="en-GB"/>
        </w:rPr>
        <w:t xml:space="preserve"> more prone to “greenwashing” campaigns. Moreover, </w:t>
      </w:r>
      <w:r w:rsidR="007C3FC3">
        <w:rPr>
          <w:rFonts w:ascii="Times New Roman" w:eastAsia="Calibri" w:hAnsi="Times New Roman" w:cs="Times New Roman"/>
          <w:sz w:val="24"/>
          <w:szCs w:val="24"/>
          <w:lang w:val="en-GB"/>
        </w:rPr>
        <w:t xml:space="preserve">the </w:t>
      </w:r>
      <w:r w:rsidR="007C3FC3" w:rsidRPr="00873B4D">
        <w:rPr>
          <w:rFonts w:ascii="Times New Roman" w:eastAsia="Calibri" w:hAnsi="Times New Roman" w:cs="Times New Roman"/>
          <w:sz w:val="24"/>
          <w:szCs w:val="24"/>
          <w:lang w:val="en-GB"/>
        </w:rPr>
        <w:t xml:space="preserve">fulfilment of </w:t>
      </w:r>
      <w:r w:rsidR="00FA4CD9">
        <w:rPr>
          <w:rFonts w:ascii="Times New Roman" w:eastAsia="Calibri" w:hAnsi="Times New Roman" w:cs="Times New Roman"/>
          <w:sz w:val="24"/>
          <w:szCs w:val="24"/>
          <w:lang w:val="en-GB"/>
        </w:rPr>
        <w:t xml:space="preserve">societal </w:t>
      </w:r>
      <w:r w:rsidR="007C3FC3" w:rsidRPr="00873B4D">
        <w:rPr>
          <w:rFonts w:ascii="Times New Roman" w:eastAsia="Calibri" w:hAnsi="Times New Roman" w:cs="Times New Roman"/>
          <w:sz w:val="24"/>
          <w:szCs w:val="24"/>
          <w:lang w:val="en-GB"/>
        </w:rPr>
        <w:t xml:space="preserve">demands regarding the social sustainability dimension </w:t>
      </w:r>
      <w:r w:rsidR="007C3FC3">
        <w:rPr>
          <w:rFonts w:ascii="Times New Roman" w:eastAsia="Calibri" w:hAnsi="Times New Roman" w:cs="Times New Roman"/>
          <w:sz w:val="24"/>
          <w:szCs w:val="24"/>
          <w:lang w:val="en-GB"/>
        </w:rPr>
        <w:t>is</w:t>
      </w:r>
      <w:r w:rsidR="007C3FC3" w:rsidRPr="00873B4D">
        <w:rPr>
          <w:rFonts w:ascii="Times New Roman" w:eastAsia="Calibri" w:hAnsi="Times New Roman" w:cs="Times New Roman"/>
          <w:sz w:val="24"/>
          <w:szCs w:val="24"/>
          <w:lang w:val="en-GB"/>
        </w:rPr>
        <w:t xml:space="preserve"> often taken for granted</w:t>
      </w:r>
      <w:r w:rsidR="007C3FC3">
        <w:rPr>
          <w:rFonts w:ascii="Times New Roman" w:eastAsia="Calibri" w:hAnsi="Times New Roman" w:cs="Times New Roman"/>
          <w:sz w:val="24"/>
          <w:szCs w:val="24"/>
          <w:lang w:val="en-GB"/>
        </w:rPr>
        <w:t xml:space="preserve">, especially in areas such as human rights. </w:t>
      </w:r>
      <w:r w:rsidR="00675508">
        <w:rPr>
          <w:rFonts w:ascii="Times New Roman" w:eastAsia="Calibri" w:hAnsi="Times New Roman" w:cs="Times New Roman"/>
          <w:sz w:val="24"/>
          <w:szCs w:val="24"/>
          <w:lang w:val="en-GB"/>
        </w:rPr>
        <w:t>Indeed, buyer firms</w:t>
      </w:r>
      <w:r w:rsidR="00675508" w:rsidRPr="00873B4D">
        <w:rPr>
          <w:rFonts w:ascii="Times New Roman" w:eastAsia="Calibri" w:hAnsi="Times New Roman" w:cs="Times New Roman"/>
          <w:sz w:val="24"/>
          <w:szCs w:val="24"/>
          <w:lang w:val="en-GB"/>
        </w:rPr>
        <w:t xml:space="preserve"> have not yet broaden</w:t>
      </w:r>
      <w:r w:rsidR="00675508">
        <w:rPr>
          <w:rFonts w:ascii="Times New Roman" w:eastAsia="Calibri" w:hAnsi="Times New Roman" w:cs="Times New Roman"/>
          <w:sz w:val="24"/>
          <w:szCs w:val="24"/>
          <w:lang w:val="en-GB"/>
        </w:rPr>
        <w:t>ed</w:t>
      </w:r>
      <w:r w:rsidR="00675508" w:rsidRPr="00873B4D">
        <w:rPr>
          <w:rFonts w:ascii="Times New Roman" w:eastAsia="Calibri" w:hAnsi="Times New Roman" w:cs="Times New Roman"/>
          <w:sz w:val="24"/>
          <w:szCs w:val="24"/>
          <w:lang w:val="en-GB"/>
        </w:rPr>
        <w:t xml:space="preserve"> the</w:t>
      </w:r>
      <w:r w:rsidR="00675508">
        <w:rPr>
          <w:rFonts w:ascii="Times New Roman" w:eastAsia="Calibri" w:hAnsi="Times New Roman" w:cs="Times New Roman"/>
          <w:sz w:val="24"/>
          <w:szCs w:val="24"/>
          <w:lang w:val="en-GB"/>
        </w:rPr>
        <w:t>ir</w:t>
      </w:r>
      <w:r w:rsidR="00675508" w:rsidRPr="00873B4D">
        <w:rPr>
          <w:rFonts w:ascii="Times New Roman" w:eastAsia="Calibri" w:hAnsi="Times New Roman" w:cs="Times New Roman"/>
          <w:sz w:val="24"/>
          <w:szCs w:val="24"/>
          <w:lang w:val="en-GB"/>
        </w:rPr>
        <w:t xml:space="preserve"> scope of responsibilities </w:t>
      </w:r>
      <w:r w:rsidR="00675508">
        <w:rPr>
          <w:rFonts w:ascii="Times New Roman" w:eastAsia="Calibri" w:hAnsi="Times New Roman" w:cs="Times New Roman"/>
          <w:sz w:val="24"/>
          <w:szCs w:val="24"/>
          <w:lang w:val="en-GB"/>
        </w:rPr>
        <w:t xml:space="preserve">in the social dimension to the same level </w:t>
      </w:r>
      <w:r w:rsidR="00675508" w:rsidRPr="00873B4D">
        <w:rPr>
          <w:rFonts w:ascii="Times New Roman" w:eastAsia="Calibri" w:hAnsi="Times New Roman" w:cs="Times New Roman"/>
          <w:sz w:val="24"/>
          <w:szCs w:val="24"/>
          <w:lang w:val="en-GB"/>
        </w:rPr>
        <w:t xml:space="preserve">as in the environmental </w:t>
      </w:r>
      <w:r w:rsidR="00675508" w:rsidRPr="00E104E8">
        <w:rPr>
          <w:rFonts w:ascii="Times New Roman" w:eastAsia="Calibri" w:hAnsi="Times New Roman" w:cs="Times New Roman"/>
          <w:sz w:val="24"/>
          <w:szCs w:val="24"/>
          <w:lang w:val="en-GB"/>
        </w:rPr>
        <w:lastRenderedPageBreak/>
        <w:t xml:space="preserve">sustainability dimension. </w:t>
      </w:r>
      <w:r w:rsidR="00675508">
        <w:rPr>
          <w:rFonts w:ascii="Times New Roman" w:eastAsia="Calibri" w:hAnsi="Times New Roman" w:cs="Times New Roman"/>
          <w:sz w:val="24"/>
          <w:szCs w:val="24"/>
          <w:lang w:val="en-GB"/>
        </w:rPr>
        <w:t>This could explain why the</w:t>
      </w:r>
      <w:r w:rsidR="00B03363">
        <w:rPr>
          <w:rFonts w:ascii="Times New Roman" w:eastAsia="Calibri" w:hAnsi="Times New Roman" w:cs="Times New Roman"/>
          <w:sz w:val="24"/>
          <w:szCs w:val="24"/>
          <w:lang w:val="en-GB"/>
        </w:rPr>
        <w:t xml:space="preserve"> asymmetries</w:t>
      </w:r>
      <w:r w:rsidR="00B03363">
        <w:rPr>
          <w:rFonts w:ascii="Times New Roman" w:eastAsia="Calibri" w:hAnsi="Times New Roman" w:cs="Times New Roman"/>
          <w:sz w:val="24"/>
          <w:szCs w:val="24"/>
          <w:lang w:val="en-GB"/>
        </w:rPr>
        <w:t xml:space="preserve"> on the </w:t>
      </w:r>
      <w:r w:rsidR="00B03363">
        <w:rPr>
          <w:rFonts w:ascii="Times New Roman" w:eastAsia="Calibri" w:hAnsi="Times New Roman" w:cs="Times New Roman"/>
          <w:sz w:val="24"/>
          <w:szCs w:val="24"/>
          <w:lang w:val="en-GB"/>
        </w:rPr>
        <w:t>social area ha</w:t>
      </w:r>
      <w:r w:rsidR="00B03363">
        <w:rPr>
          <w:rFonts w:ascii="Times New Roman" w:eastAsia="Calibri" w:hAnsi="Times New Roman" w:cs="Times New Roman"/>
          <w:sz w:val="24"/>
          <w:szCs w:val="24"/>
          <w:lang w:val="en-GB"/>
        </w:rPr>
        <w:t>ve</w:t>
      </w:r>
      <w:r w:rsidR="00B03363">
        <w:rPr>
          <w:rFonts w:ascii="Times New Roman" w:eastAsia="Calibri" w:hAnsi="Times New Roman" w:cs="Times New Roman"/>
          <w:sz w:val="24"/>
          <w:szCs w:val="24"/>
          <w:lang w:val="en-GB"/>
        </w:rPr>
        <w:t xml:space="preserve"> little effect on performance, when compared to the environmental dimension. One exception may be the health and safety dimension, in which we detected a small effect of asymmetries on performance. </w:t>
      </w:r>
      <w:r w:rsidR="00B03363">
        <w:rPr>
          <w:rFonts w:ascii="Times New Roman" w:eastAsia="Calibri" w:hAnsi="Times New Roman" w:cs="Times New Roman"/>
          <w:sz w:val="24"/>
          <w:szCs w:val="24"/>
          <w:lang w:val="en-GB"/>
        </w:rPr>
        <w:t xml:space="preserve">A plausible explanation for that result might be that the health and safety area has more technical standards </w:t>
      </w:r>
      <w:r w:rsidR="00B03363">
        <w:rPr>
          <w:rFonts w:ascii="Times New Roman" w:eastAsia="Calibri" w:hAnsi="Times New Roman" w:cs="Times New Roman"/>
          <w:sz w:val="24"/>
          <w:szCs w:val="24"/>
          <w:lang w:val="en-GB"/>
        </w:rPr>
        <w:t xml:space="preserve">and measurable metrics </w:t>
      </w:r>
      <w:r w:rsidR="00B03363">
        <w:rPr>
          <w:rFonts w:ascii="Times New Roman" w:eastAsia="Calibri" w:hAnsi="Times New Roman" w:cs="Times New Roman"/>
          <w:sz w:val="24"/>
          <w:szCs w:val="24"/>
          <w:lang w:val="en-GB"/>
        </w:rPr>
        <w:t>than other social areas (</w:t>
      </w:r>
      <w:r w:rsidR="00B03363">
        <w:rPr>
          <w:rFonts w:ascii="Times New Roman" w:eastAsia="Calibri" w:hAnsi="Times New Roman" w:cs="Times New Roman"/>
          <w:sz w:val="24"/>
          <w:szCs w:val="24"/>
          <w:lang w:val="en-GB"/>
        </w:rPr>
        <w:t xml:space="preserve">e.g. human rights), therefore it behaves in </w:t>
      </w:r>
      <w:r w:rsidR="00B03363">
        <w:rPr>
          <w:rFonts w:ascii="Times New Roman" w:eastAsia="Calibri" w:hAnsi="Times New Roman" w:cs="Times New Roman"/>
          <w:sz w:val="24"/>
          <w:szCs w:val="24"/>
          <w:lang w:val="en-GB"/>
        </w:rPr>
        <w:t xml:space="preserve">a way which is </w:t>
      </w:r>
      <w:r w:rsidR="00B03363">
        <w:rPr>
          <w:rFonts w:ascii="Times New Roman" w:eastAsia="Calibri" w:hAnsi="Times New Roman" w:cs="Times New Roman"/>
          <w:sz w:val="24"/>
          <w:szCs w:val="24"/>
          <w:lang w:val="en-GB"/>
        </w:rPr>
        <w:t xml:space="preserve">more similar </w:t>
      </w:r>
      <w:r w:rsidR="00B03363">
        <w:rPr>
          <w:rFonts w:ascii="Times New Roman" w:eastAsia="Calibri" w:hAnsi="Times New Roman" w:cs="Times New Roman"/>
          <w:sz w:val="24"/>
          <w:szCs w:val="24"/>
          <w:lang w:val="en-GB"/>
        </w:rPr>
        <w:t>to</w:t>
      </w:r>
      <w:r w:rsidR="00B03363">
        <w:rPr>
          <w:rFonts w:ascii="Times New Roman" w:eastAsia="Calibri" w:hAnsi="Times New Roman" w:cs="Times New Roman"/>
          <w:sz w:val="24"/>
          <w:szCs w:val="24"/>
          <w:lang w:val="en-GB"/>
        </w:rPr>
        <w:t xml:space="preserve"> the environmental dimension.</w:t>
      </w:r>
      <w:r w:rsidR="00B03363">
        <w:rPr>
          <w:rFonts w:ascii="Times New Roman" w:eastAsia="Calibri" w:hAnsi="Times New Roman" w:cs="Times New Roman"/>
          <w:sz w:val="24"/>
          <w:szCs w:val="24"/>
          <w:lang w:val="en-GB"/>
        </w:rPr>
        <w:t xml:space="preserve"> </w:t>
      </w:r>
      <w:r w:rsidR="00067FC5" w:rsidRPr="00E104E8">
        <w:rPr>
          <w:rFonts w:ascii="Times New Roman" w:eastAsia="Calibri" w:hAnsi="Times New Roman" w:cs="Times New Roman"/>
          <w:sz w:val="24"/>
          <w:szCs w:val="24"/>
          <w:lang w:val="en-GB"/>
        </w:rPr>
        <w:t>This result</w:t>
      </w:r>
      <w:r w:rsidR="007C3FC3" w:rsidRPr="00E104E8">
        <w:rPr>
          <w:rFonts w:ascii="Times New Roman" w:eastAsia="Calibri" w:hAnsi="Times New Roman" w:cs="Times New Roman"/>
          <w:sz w:val="24"/>
          <w:szCs w:val="24"/>
          <w:lang w:val="en-GB"/>
        </w:rPr>
        <w:t xml:space="preserve"> support</w:t>
      </w:r>
      <w:r w:rsidR="00067FC5" w:rsidRPr="00E104E8">
        <w:rPr>
          <w:rFonts w:ascii="Times New Roman" w:eastAsia="Calibri" w:hAnsi="Times New Roman" w:cs="Times New Roman"/>
          <w:sz w:val="24"/>
          <w:szCs w:val="24"/>
          <w:lang w:val="en-GB"/>
        </w:rPr>
        <w:t>s</w:t>
      </w:r>
      <w:r w:rsidR="007C3FC3" w:rsidRPr="00E104E8">
        <w:rPr>
          <w:rFonts w:ascii="Times New Roman" w:eastAsia="Calibri" w:hAnsi="Times New Roman" w:cs="Times New Roman"/>
          <w:sz w:val="24"/>
          <w:szCs w:val="24"/>
          <w:lang w:val="en-GB"/>
        </w:rPr>
        <w:t xml:space="preserve"> those </w:t>
      </w:r>
      <w:r w:rsidR="00067FC5" w:rsidRPr="00E104E8">
        <w:rPr>
          <w:rFonts w:ascii="Times New Roman" w:eastAsia="Calibri" w:hAnsi="Times New Roman" w:cs="Times New Roman"/>
          <w:sz w:val="24"/>
          <w:szCs w:val="24"/>
          <w:lang w:val="en-GB"/>
        </w:rPr>
        <w:t xml:space="preserve">researchers </w:t>
      </w:r>
      <w:r w:rsidR="007C3FC3" w:rsidRPr="00E104E8">
        <w:rPr>
          <w:rFonts w:ascii="Times New Roman" w:eastAsia="Calibri" w:hAnsi="Times New Roman" w:cs="Times New Roman"/>
          <w:sz w:val="24"/>
          <w:szCs w:val="24"/>
          <w:lang w:val="en-GB"/>
        </w:rPr>
        <w:t>who claim that firms also need to advance in the social areas</w:t>
      </w:r>
      <w:r w:rsidR="00BB08E3" w:rsidRPr="00E104E8">
        <w:rPr>
          <w:rFonts w:ascii="Times New Roman" w:eastAsia="Calibri" w:hAnsi="Times New Roman" w:cs="Times New Roman"/>
          <w:sz w:val="24"/>
          <w:szCs w:val="24"/>
          <w:lang w:val="en-GB"/>
        </w:rPr>
        <w:t xml:space="preserve"> and appropriately quantif</w:t>
      </w:r>
      <w:r w:rsidR="00067FC5" w:rsidRPr="00E104E8">
        <w:rPr>
          <w:rFonts w:ascii="Times New Roman" w:eastAsia="Calibri" w:hAnsi="Times New Roman" w:cs="Times New Roman"/>
          <w:sz w:val="24"/>
          <w:szCs w:val="24"/>
          <w:lang w:val="en-GB"/>
        </w:rPr>
        <w:t>y</w:t>
      </w:r>
      <w:r w:rsidR="00A473E2" w:rsidRPr="00E104E8">
        <w:rPr>
          <w:rFonts w:ascii="Times New Roman" w:eastAsia="Calibri" w:hAnsi="Times New Roman" w:cs="Times New Roman"/>
          <w:sz w:val="24"/>
          <w:szCs w:val="24"/>
          <w:lang w:val="en-GB"/>
        </w:rPr>
        <w:t xml:space="preserve"> sustainability</w:t>
      </w:r>
      <w:r w:rsidR="00BB08E3" w:rsidRPr="00E104E8">
        <w:rPr>
          <w:rFonts w:ascii="Times New Roman" w:eastAsia="Calibri" w:hAnsi="Times New Roman" w:cs="Times New Roman"/>
          <w:sz w:val="24"/>
          <w:szCs w:val="24"/>
          <w:lang w:val="en-GB"/>
        </w:rPr>
        <w:t xml:space="preserve"> </w:t>
      </w:r>
      <w:r w:rsidR="00A473E2" w:rsidRPr="00E104E8">
        <w:rPr>
          <w:rFonts w:ascii="Times New Roman" w:eastAsia="Calibri" w:hAnsi="Times New Roman" w:cs="Times New Roman"/>
          <w:sz w:val="24"/>
          <w:szCs w:val="24"/>
          <w:lang w:val="en-GB"/>
        </w:rPr>
        <w:t xml:space="preserve">tensions and </w:t>
      </w:r>
      <w:r w:rsidR="00BB08E3" w:rsidRPr="00E104E8">
        <w:rPr>
          <w:rFonts w:ascii="Times New Roman" w:eastAsia="Calibri" w:hAnsi="Times New Roman" w:cs="Times New Roman"/>
          <w:sz w:val="24"/>
          <w:szCs w:val="24"/>
          <w:lang w:val="en-GB"/>
        </w:rPr>
        <w:t xml:space="preserve">impacts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Bubicz</w:t>
      </w:r>
      <w:proofErr w:type="spellEnd"/>
      <w:r w:rsidR="00F3370E" w:rsidRPr="007A6E4B">
        <w:rPr>
          <w:rFonts w:ascii="Times New Roman" w:hAnsi="Times New Roman" w:cs="Times New Roman"/>
          <w:sz w:val="24"/>
          <w:lang w:val="en-US"/>
        </w:rPr>
        <w:t xml:space="preserve"> et al., 2019; Walker et al., 2021; </w:t>
      </w:r>
      <w:proofErr w:type="spellStart"/>
      <w:r w:rsidR="00F3370E" w:rsidRPr="007A6E4B">
        <w:rPr>
          <w:rFonts w:ascii="Times New Roman" w:hAnsi="Times New Roman" w:cs="Times New Roman"/>
          <w:sz w:val="24"/>
          <w:lang w:val="en-US"/>
        </w:rPr>
        <w:t>Yawar</w:t>
      </w:r>
      <w:proofErr w:type="spellEnd"/>
      <w:r w:rsidR="00F3370E" w:rsidRPr="007A6E4B">
        <w:rPr>
          <w:rFonts w:ascii="Times New Roman" w:hAnsi="Times New Roman" w:cs="Times New Roman"/>
          <w:sz w:val="24"/>
          <w:lang w:val="en-US"/>
        </w:rPr>
        <w:t xml:space="preserve"> and </w:t>
      </w:r>
      <w:proofErr w:type="spellStart"/>
      <w:r w:rsidR="00F3370E" w:rsidRPr="007A6E4B">
        <w:rPr>
          <w:rFonts w:ascii="Times New Roman" w:hAnsi="Times New Roman" w:cs="Times New Roman"/>
          <w:sz w:val="24"/>
          <w:lang w:val="en-US"/>
        </w:rPr>
        <w:t>Seuring</w:t>
      </w:r>
      <w:proofErr w:type="spellEnd"/>
      <w:r w:rsidR="00F3370E" w:rsidRPr="007A6E4B">
        <w:rPr>
          <w:rFonts w:ascii="Times New Roman" w:hAnsi="Times New Roman" w:cs="Times New Roman"/>
          <w:sz w:val="24"/>
          <w:lang w:val="en-US"/>
        </w:rPr>
        <w:t>, 2017)</w:t>
      </w:r>
      <w:r w:rsidR="007C3FC3" w:rsidRPr="00E104E8">
        <w:rPr>
          <w:rFonts w:ascii="Times New Roman" w:eastAsia="Calibri" w:hAnsi="Times New Roman" w:cs="Times New Roman"/>
          <w:sz w:val="24"/>
          <w:szCs w:val="24"/>
          <w:lang w:val="en-GB"/>
        </w:rPr>
        <w:t>.</w:t>
      </w:r>
      <w:r w:rsidR="007C3FC3">
        <w:rPr>
          <w:rFonts w:ascii="Times New Roman" w:eastAsia="Calibri" w:hAnsi="Times New Roman" w:cs="Times New Roman"/>
          <w:sz w:val="24"/>
          <w:szCs w:val="24"/>
          <w:lang w:val="en-GB"/>
        </w:rPr>
        <w:t xml:space="preserve"> </w:t>
      </w:r>
      <w:r w:rsidR="007C3FC3" w:rsidRPr="00873B4D">
        <w:rPr>
          <w:rFonts w:ascii="Times New Roman" w:eastAsia="Calibri" w:hAnsi="Times New Roman" w:cs="Times New Roman"/>
          <w:sz w:val="24"/>
          <w:szCs w:val="24"/>
          <w:lang w:val="en-GB"/>
        </w:rPr>
        <w:t xml:space="preserve"> </w:t>
      </w:r>
    </w:p>
    <w:p w14:paraId="23C5E424" w14:textId="53047205" w:rsidR="0087690D" w:rsidRDefault="004270F7" w:rsidP="00A30720">
      <w:pPr>
        <w:spacing w:line="480" w:lineRule="auto"/>
        <w:jc w:val="both"/>
        <w:rPr>
          <w:rFonts w:ascii="Times New Roman" w:eastAsia="Calibri" w:hAnsi="Times New Roman" w:cs="Times New Roman"/>
          <w:sz w:val="24"/>
          <w:szCs w:val="24"/>
          <w:lang w:val="en-GB"/>
        </w:rPr>
      </w:pPr>
      <w:r w:rsidRPr="00D100A6">
        <w:rPr>
          <w:rFonts w:ascii="Times New Roman" w:eastAsia="Calibri" w:hAnsi="Times New Roman" w:cs="Times New Roman"/>
          <w:sz w:val="24"/>
          <w:szCs w:val="24"/>
          <w:lang w:val="en-GB"/>
        </w:rPr>
        <w:t>W</w:t>
      </w:r>
      <w:r w:rsidR="007C3FC3" w:rsidRPr="00D100A6">
        <w:rPr>
          <w:rFonts w:ascii="Times New Roman" w:eastAsia="Calibri" w:hAnsi="Times New Roman" w:cs="Times New Roman"/>
          <w:sz w:val="24"/>
          <w:szCs w:val="24"/>
          <w:lang w:val="en-GB"/>
        </w:rPr>
        <w:t>ithin</w:t>
      </w:r>
      <w:r w:rsidR="007C3FC3" w:rsidRPr="00873B4D">
        <w:rPr>
          <w:rFonts w:ascii="Times New Roman" w:eastAsia="Calibri" w:hAnsi="Times New Roman" w:cs="Times New Roman"/>
          <w:sz w:val="24"/>
          <w:szCs w:val="24"/>
          <w:lang w:val="en-GB"/>
        </w:rPr>
        <w:t xml:space="preserve"> the environmental dimension, </w:t>
      </w:r>
      <w:r w:rsidR="007C3FC3">
        <w:rPr>
          <w:rFonts w:ascii="Times New Roman" w:eastAsia="Calibri" w:hAnsi="Times New Roman" w:cs="Times New Roman"/>
          <w:sz w:val="24"/>
          <w:szCs w:val="24"/>
          <w:lang w:val="en-GB"/>
        </w:rPr>
        <w:t xml:space="preserve">our findings suggest that firms should undertake different sustainability approaches, depending on the area. While having </w:t>
      </w:r>
      <w:r w:rsidR="00E104E8">
        <w:rPr>
          <w:rFonts w:ascii="Times New Roman" w:eastAsia="Calibri" w:hAnsi="Times New Roman" w:cs="Times New Roman"/>
          <w:sz w:val="24"/>
          <w:szCs w:val="24"/>
          <w:lang w:val="en-GB"/>
        </w:rPr>
        <w:t xml:space="preserve">a higher buyer-supplier asymmetry </w:t>
      </w:r>
      <w:r w:rsidR="007C3FC3">
        <w:rPr>
          <w:rFonts w:ascii="Times New Roman" w:eastAsia="Calibri" w:hAnsi="Times New Roman" w:cs="Times New Roman"/>
          <w:sz w:val="24"/>
          <w:szCs w:val="24"/>
          <w:lang w:val="en-GB"/>
        </w:rPr>
        <w:t xml:space="preserve">in the resource reduction area improves </w:t>
      </w:r>
      <w:r w:rsidR="00A77F97">
        <w:rPr>
          <w:rFonts w:ascii="Times New Roman" w:eastAsia="Calibri" w:hAnsi="Times New Roman" w:cs="Times New Roman"/>
          <w:sz w:val="24"/>
          <w:szCs w:val="24"/>
          <w:lang w:val="en-GB"/>
        </w:rPr>
        <w:t xml:space="preserve">buyer </w:t>
      </w:r>
      <w:r w:rsidR="007C3FC3">
        <w:rPr>
          <w:rFonts w:ascii="Times New Roman" w:eastAsia="Calibri" w:hAnsi="Times New Roman" w:cs="Times New Roman"/>
          <w:sz w:val="24"/>
          <w:szCs w:val="24"/>
          <w:lang w:val="en-GB"/>
        </w:rPr>
        <w:t>profitability (</w:t>
      </w:r>
      <w:r w:rsidR="00A77F97">
        <w:rPr>
          <w:rFonts w:ascii="Times New Roman" w:eastAsia="Calibri" w:hAnsi="Times New Roman" w:cs="Times New Roman"/>
          <w:sz w:val="24"/>
          <w:szCs w:val="24"/>
          <w:lang w:val="en-GB"/>
        </w:rPr>
        <w:t xml:space="preserve">regardless </w:t>
      </w:r>
      <w:r w:rsidR="007C3FC3">
        <w:rPr>
          <w:rFonts w:ascii="Times New Roman" w:eastAsia="Calibri" w:hAnsi="Times New Roman" w:cs="Times New Roman"/>
          <w:sz w:val="24"/>
          <w:szCs w:val="24"/>
          <w:lang w:val="en-GB"/>
        </w:rPr>
        <w:t xml:space="preserve">of which party is </w:t>
      </w:r>
      <w:r w:rsidR="00E57281">
        <w:rPr>
          <w:rFonts w:ascii="Times New Roman" w:eastAsia="Calibri" w:hAnsi="Times New Roman" w:cs="Times New Roman"/>
          <w:sz w:val="24"/>
          <w:szCs w:val="24"/>
          <w:lang w:val="en-GB"/>
        </w:rPr>
        <w:t>ahead</w:t>
      </w:r>
      <w:r w:rsidR="007C3FC3">
        <w:rPr>
          <w:rFonts w:ascii="Times New Roman" w:eastAsia="Calibri" w:hAnsi="Times New Roman" w:cs="Times New Roman"/>
          <w:sz w:val="24"/>
          <w:szCs w:val="24"/>
          <w:lang w:val="en-GB"/>
        </w:rPr>
        <w:t>), in the area of emissions it leads to a negative performance</w:t>
      </w:r>
      <w:r w:rsidR="00A24959">
        <w:rPr>
          <w:rFonts w:ascii="Times New Roman" w:eastAsia="Calibri" w:hAnsi="Times New Roman" w:cs="Times New Roman"/>
          <w:sz w:val="24"/>
          <w:szCs w:val="24"/>
          <w:lang w:val="en-GB"/>
        </w:rPr>
        <w:t xml:space="preserve"> when </w:t>
      </w:r>
      <w:r w:rsidR="00A77F97">
        <w:rPr>
          <w:rFonts w:ascii="Times New Roman" w:eastAsia="Calibri" w:hAnsi="Times New Roman" w:cs="Times New Roman"/>
          <w:sz w:val="24"/>
          <w:szCs w:val="24"/>
          <w:lang w:val="en-GB"/>
        </w:rPr>
        <w:t xml:space="preserve">the </w:t>
      </w:r>
      <w:r w:rsidR="00A24959">
        <w:rPr>
          <w:rFonts w:ascii="Times New Roman" w:eastAsia="Calibri" w:hAnsi="Times New Roman" w:cs="Times New Roman"/>
          <w:sz w:val="24"/>
          <w:szCs w:val="24"/>
          <w:lang w:val="en-GB"/>
        </w:rPr>
        <w:t>buyer is lagging behind the supplier</w:t>
      </w:r>
      <w:r w:rsidR="007C3FC3" w:rsidRPr="00873B4D">
        <w:rPr>
          <w:rFonts w:ascii="Times New Roman" w:eastAsia="Calibri" w:hAnsi="Times New Roman" w:cs="Times New Roman"/>
          <w:sz w:val="24"/>
          <w:szCs w:val="24"/>
          <w:lang w:val="en-GB"/>
        </w:rPr>
        <w:t xml:space="preserve">. This finding is critical and deserves some analysis. Although both </w:t>
      </w:r>
      <w:r w:rsidR="007C3FC3">
        <w:rPr>
          <w:rFonts w:ascii="Times New Roman" w:eastAsia="Calibri" w:hAnsi="Times New Roman" w:cs="Times New Roman"/>
          <w:sz w:val="24"/>
          <w:szCs w:val="24"/>
          <w:lang w:val="en-GB"/>
        </w:rPr>
        <w:t>areas</w:t>
      </w:r>
      <w:r w:rsidR="007C3FC3" w:rsidRPr="00873B4D">
        <w:rPr>
          <w:rFonts w:ascii="Times New Roman" w:eastAsia="Calibri" w:hAnsi="Times New Roman" w:cs="Times New Roman"/>
          <w:sz w:val="24"/>
          <w:szCs w:val="24"/>
          <w:lang w:val="en-GB"/>
        </w:rPr>
        <w:t xml:space="preserve"> are </w:t>
      </w:r>
      <w:r w:rsidR="007C3FC3">
        <w:rPr>
          <w:rFonts w:ascii="Times New Roman" w:eastAsia="Calibri" w:hAnsi="Times New Roman" w:cs="Times New Roman"/>
          <w:sz w:val="24"/>
          <w:szCs w:val="24"/>
          <w:lang w:val="en-GB"/>
        </w:rPr>
        <w:t>within the</w:t>
      </w:r>
      <w:r w:rsidR="007C3FC3" w:rsidRPr="00873B4D">
        <w:rPr>
          <w:rFonts w:ascii="Times New Roman" w:eastAsia="Calibri" w:hAnsi="Times New Roman" w:cs="Times New Roman"/>
          <w:sz w:val="24"/>
          <w:szCs w:val="24"/>
          <w:lang w:val="en-GB"/>
        </w:rPr>
        <w:t xml:space="preserve"> environmental </w:t>
      </w:r>
      <w:r w:rsidR="007C3FC3">
        <w:rPr>
          <w:rFonts w:ascii="Times New Roman" w:eastAsia="Calibri" w:hAnsi="Times New Roman" w:cs="Times New Roman"/>
          <w:sz w:val="24"/>
          <w:szCs w:val="24"/>
          <w:lang w:val="en-GB"/>
        </w:rPr>
        <w:t>dimension</w:t>
      </w:r>
      <w:r w:rsidR="007C3FC3" w:rsidRPr="00873B4D">
        <w:rPr>
          <w:rFonts w:ascii="Times New Roman" w:eastAsia="Calibri" w:hAnsi="Times New Roman" w:cs="Times New Roman"/>
          <w:sz w:val="24"/>
          <w:szCs w:val="24"/>
          <w:lang w:val="en-GB"/>
        </w:rPr>
        <w:t xml:space="preserve">, they </w:t>
      </w:r>
      <w:r w:rsidR="007C3FC3">
        <w:rPr>
          <w:rFonts w:ascii="Times New Roman" w:eastAsia="Calibri" w:hAnsi="Times New Roman" w:cs="Times New Roman"/>
          <w:sz w:val="24"/>
          <w:szCs w:val="24"/>
          <w:lang w:val="en-GB"/>
        </w:rPr>
        <w:t>have different implementation characteristics</w:t>
      </w:r>
      <w:r w:rsidR="007C3FC3" w:rsidRPr="00873B4D">
        <w:rPr>
          <w:rFonts w:ascii="Times New Roman" w:eastAsia="Calibri" w:hAnsi="Times New Roman" w:cs="Times New Roman"/>
          <w:sz w:val="24"/>
          <w:szCs w:val="24"/>
          <w:lang w:val="en-GB"/>
        </w:rPr>
        <w:t xml:space="preserve">. </w:t>
      </w:r>
      <w:r w:rsidR="007C3FC3">
        <w:rPr>
          <w:rFonts w:ascii="Times New Roman" w:eastAsia="Calibri" w:hAnsi="Times New Roman" w:cs="Times New Roman"/>
          <w:sz w:val="24"/>
          <w:szCs w:val="24"/>
          <w:lang w:val="en-GB"/>
        </w:rPr>
        <w:t>In the case of e</w:t>
      </w:r>
      <w:r w:rsidR="007C3FC3" w:rsidRPr="00873B4D">
        <w:rPr>
          <w:rFonts w:ascii="Times New Roman" w:eastAsia="Calibri" w:hAnsi="Times New Roman" w:cs="Times New Roman"/>
          <w:sz w:val="24"/>
          <w:szCs w:val="24"/>
          <w:lang w:val="en-GB"/>
        </w:rPr>
        <w:t xml:space="preserve">mission reduction, </w:t>
      </w:r>
      <w:r w:rsidR="00E057FE">
        <w:rPr>
          <w:rFonts w:ascii="Times New Roman" w:eastAsia="Calibri" w:hAnsi="Times New Roman" w:cs="Times New Roman"/>
          <w:sz w:val="24"/>
          <w:szCs w:val="24"/>
          <w:lang w:val="en-GB"/>
        </w:rPr>
        <w:t xml:space="preserve">a potential explanation is that </w:t>
      </w:r>
      <w:r w:rsidR="007C3FC3" w:rsidRPr="00873B4D">
        <w:rPr>
          <w:rFonts w:ascii="Times New Roman" w:eastAsia="Calibri" w:hAnsi="Times New Roman" w:cs="Times New Roman"/>
          <w:sz w:val="24"/>
          <w:szCs w:val="24"/>
          <w:lang w:val="en-GB"/>
        </w:rPr>
        <w:t>coordination between supply chain members is key (</w:t>
      </w:r>
      <w:r w:rsidR="00A77F97">
        <w:rPr>
          <w:rFonts w:ascii="Times New Roman" w:eastAsia="Calibri" w:hAnsi="Times New Roman" w:cs="Times New Roman"/>
          <w:sz w:val="24"/>
          <w:szCs w:val="24"/>
          <w:lang w:val="en-GB"/>
        </w:rPr>
        <w:t>e.g.,</w:t>
      </w:r>
      <w:r w:rsidR="007C3FC3" w:rsidRPr="00873B4D">
        <w:rPr>
          <w:rFonts w:ascii="Times New Roman" w:eastAsia="Calibri" w:hAnsi="Times New Roman" w:cs="Times New Roman"/>
          <w:sz w:val="24"/>
          <w:szCs w:val="24"/>
          <w:lang w:val="en-GB"/>
        </w:rPr>
        <w:t xml:space="preserve"> when the buyer provides technical or financial support to the supplier in order to </w:t>
      </w:r>
      <w:r w:rsidR="004776F2">
        <w:rPr>
          <w:rFonts w:ascii="Times New Roman" w:eastAsia="Calibri" w:hAnsi="Times New Roman" w:cs="Times New Roman"/>
          <w:sz w:val="24"/>
          <w:szCs w:val="24"/>
          <w:lang w:val="en-GB"/>
        </w:rPr>
        <w:t>develop a</w:t>
      </w:r>
      <w:r w:rsidR="007C3FC3">
        <w:rPr>
          <w:rFonts w:ascii="Times New Roman" w:eastAsia="Calibri" w:hAnsi="Times New Roman" w:cs="Times New Roman"/>
          <w:sz w:val="24"/>
          <w:szCs w:val="24"/>
          <w:lang w:val="en-GB"/>
        </w:rPr>
        <w:t xml:space="preserve"> lower carbon footprint</w:t>
      </w:r>
      <w:r w:rsidR="007C3FC3" w:rsidRPr="00873B4D">
        <w:rPr>
          <w:rFonts w:ascii="Times New Roman" w:eastAsia="Calibri" w:hAnsi="Times New Roman" w:cs="Times New Roman"/>
          <w:sz w:val="24"/>
          <w:szCs w:val="24"/>
          <w:lang w:val="en-GB"/>
        </w:rPr>
        <w:t xml:space="preserve"> process). </w:t>
      </w:r>
      <w:r w:rsidR="00E57281">
        <w:rPr>
          <w:rFonts w:ascii="Times New Roman" w:eastAsia="Calibri" w:hAnsi="Times New Roman" w:cs="Times New Roman"/>
          <w:sz w:val="24"/>
          <w:szCs w:val="24"/>
          <w:lang w:val="en-GB"/>
        </w:rPr>
        <w:t>T</w:t>
      </w:r>
      <w:r w:rsidR="007C3FC3" w:rsidRPr="00873B4D">
        <w:rPr>
          <w:rFonts w:ascii="Times New Roman" w:eastAsia="Calibri" w:hAnsi="Times New Roman" w:cs="Times New Roman"/>
          <w:sz w:val="24"/>
          <w:szCs w:val="24"/>
          <w:lang w:val="en-GB"/>
        </w:rPr>
        <w:t xml:space="preserve">he lack of collaboration may cause </w:t>
      </w:r>
      <w:r w:rsidR="00E73CB8">
        <w:rPr>
          <w:rFonts w:ascii="Times New Roman" w:eastAsia="Calibri" w:hAnsi="Times New Roman" w:cs="Times New Roman"/>
          <w:sz w:val="24"/>
          <w:szCs w:val="24"/>
          <w:lang w:val="en-GB"/>
        </w:rPr>
        <w:t xml:space="preserve">a </w:t>
      </w:r>
      <w:r w:rsidR="007C3FC3" w:rsidRPr="00873B4D">
        <w:rPr>
          <w:rFonts w:ascii="Times New Roman" w:eastAsia="Calibri" w:hAnsi="Times New Roman" w:cs="Times New Roman"/>
          <w:sz w:val="24"/>
          <w:szCs w:val="24"/>
          <w:lang w:val="en-GB"/>
        </w:rPr>
        <w:t xml:space="preserve">failure in emission reduction initiatives, </w:t>
      </w:r>
      <w:r w:rsidR="00A77F97">
        <w:rPr>
          <w:rFonts w:ascii="Times New Roman" w:eastAsia="Calibri" w:hAnsi="Times New Roman" w:cs="Times New Roman"/>
          <w:sz w:val="24"/>
          <w:szCs w:val="24"/>
          <w:lang w:val="en-GB"/>
        </w:rPr>
        <w:t>resulting in</w:t>
      </w:r>
      <w:r w:rsidR="00A77F97" w:rsidRPr="00873B4D">
        <w:rPr>
          <w:rFonts w:ascii="Times New Roman" w:eastAsia="Calibri" w:hAnsi="Times New Roman" w:cs="Times New Roman"/>
          <w:sz w:val="24"/>
          <w:szCs w:val="24"/>
          <w:lang w:val="en-GB"/>
        </w:rPr>
        <w:t xml:space="preserve"> </w:t>
      </w:r>
      <w:r w:rsidR="007C3FC3" w:rsidRPr="00873B4D">
        <w:rPr>
          <w:rFonts w:ascii="Times New Roman" w:eastAsia="Calibri" w:hAnsi="Times New Roman" w:cs="Times New Roman"/>
          <w:sz w:val="24"/>
          <w:szCs w:val="24"/>
          <w:lang w:val="en-GB"/>
        </w:rPr>
        <w:t xml:space="preserve">a negative effect </w:t>
      </w:r>
      <w:r w:rsidR="00A77F97">
        <w:rPr>
          <w:rFonts w:ascii="Times New Roman" w:eastAsia="Calibri" w:hAnsi="Times New Roman" w:cs="Times New Roman"/>
          <w:sz w:val="24"/>
          <w:szCs w:val="24"/>
          <w:lang w:val="en-GB"/>
        </w:rPr>
        <w:t>o</w:t>
      </w:r>
      <w:r w:rsidR="00A77F97" w:rsidRPr="00873B4D">
        <w:rPr>
          <w:rFonts w:ascii="Times New Roman" w:eastAsia="Calibri" w:hAnsi="Times New Roman" w:cs="Times New Roman"/>
          <w:sz w:val="24"/>
          <w:szCs w:val="24"/>
          <w:lang w:val="en-GB"/>
        </w:rPr>
        <w:t xml:space="preserve">n </w:t>
      </w:r>
      <w:r w:rsidR="007C3FC3" w:rsidRPr="00873B4D">
        <w:rPr>
          <w:rFonts w:ascii="Times New Roman" w:eastAsia="Calibri" w:hAnsi="Times New Roman" w:cs="Times New Roman"/>
          <w:sz w:val="24"/>
          <w:szCs w:val="24"/>
          <w:lang w:val="en-GB"/>
        </w:rPr>
        <w:t>the external image of the buyer</w:t>
      </w:r>
      <w:r w:rsidR="00BB08E3">
        <w:rPr>
          <w:rFonts w:ascii="Times New Roman" w:eastAsia="Calibri" w:hAnsi="Times New Roman" w:cs="Times New Roman"/>
          <w:sz w:val="24"/>
          <w:szCs w:val="24"/>
          <w:lang w:val="en-GB"/>
        </w:rPr>
        <w:t xml:space="preserve"> </w:t>
      </w:r>
      <w:r w:rsidR="007C3FC3" w:rsidRPr="00873B4D">
        <w:rPr>
          <w:rFonts w:ascii="Times New Roman" w:eastAsia="Calibri" w:hAnsi="Times New Roman" w:cs="Times New Roman"/>
          <w:sz w:val="24"/>
          <w:szCs w:val="24"/>
          <w:lang w:val="en-GB"/>
        </w:rPr>
        <w:t>and</w:t>
      </w:r>
      <w:r w:rsidR="00A77F97">
        <w:rPr>
          <w:rFonts w:ascii="Times New Roman" w:eastAsia="Calibri" w:hAnsi="Times New Roman" w:cs="Times New Roman"/>
          <w:sz w:val="24"/>
          <w:szCs w:val="24"/>
          <w:lang w:val="en-GB"/>
        </w:rPr>
        <w:t>,</w:t>
      </w:r>
      <w:r w:rsidR="007C3FC3" w:rsidRPr="00873B4D">
        <w:rPr>
          <w:rFonts w:ascii="Times New Roman" w:eastAsia="Calibri" w:hAnsi="Times New Roman" w:cs="Times New Roman"/>
          <w:sz w:val="24"/>
          <w:szCs w:val="24"/>
          <w:lang w:val="en-GB"/>
        </w:rPr>
        <w:t xml:space="preserve"> </w:t>
      </w:r>
      <w:r w:rsidR="007C3FC3">
        <w:rPr>
          <w:rFonts w:ascii="Times New Roman" w:eastAsia="Calibri" w:hAnsi="Times New Roman" w:cs="Times New Roman"/>
          <w:sz w:val="24"/>
          <w:szCs w:val="24"/>
          <w:lang w:val="en-GB"/>
        </w:rPr>
        <w:t>consequently</w:t>
      </w:r>
      <w:r w:rsidR="00BB08E3">
        <w:rPr>
          <w:rFonts w:ascii="Times New Roman" w:eastAsia="Calibri" w:hAnsi="Times New Roman" w:cs="Times New Roman"/>
          <w:sz w:val="24"/>
          <w:szCs w:val="24"/>
          <w:lang w:val="en-GB"/>
        </w:rPr>
        <w:t>, harming its legitimacy</w:t>
      </w:r>
      <w:r w:rsidR="007C3FC3" w:rsidRPr="00873B4D">
        <w:rPr>
          <w:rFonts w:ascii="Times New Roman" w:eastAsia="Calibri" w:hAnsi="Times New Roman" w:cs="Times New Roman"/>
          <w:sz w:val="24"/>
          <w:szCs w:val="24"/>
          <w:lang w:val="en-GB"/>
        </w:rPr>
        <w:t xml:space="preserve"> </w:t>
      </w:r>
      <w:r w:rsidR="00656F6F">
        <w:rPr>
          <w:rFonts w:ascii="Times New Roman" w:eastAsia="Calibri" w:hAnsi="Times New Roman" w:cs="Times New Roman"/>
          <w:sz w:val="24"/>
          <w:szCs w:val="24"/>
          <w:lang w:val="en-GB"/>
        </w:rPr>
        <w:t>status</w:t>
      </w:r>
      <w:r w:rsidR="00A77F97">
        <w:rPr>
          <w:rFonts w:ascii="Times New Roman" w:eastAsia="Calibri" w:hAnsi="Times New Roman" w:cs="Times New Roman"/>
          <w:sz w:val="24"/>
          <w:szCs w:val="24"/>
          <w:lang w:val="en-GB"/>
        </w:rPr>
        <w:t>,</w:t>
      </w:r>
      <w:r w:rsidR="00656F6F">
        <w:rPr>
          <w:rFonts w:ascii="Times New Roman" w:eastAsia="Calibri" w:hAnsi="Times New Roman" w:cs="Times New Roman"/>
          <w:sz w:val="24"/>
          <w:szCs w:val="24"/>
          <w:lang w:val="en-GB"/>
        </w:rPr>
        <w:t xml:space="preserve"> </w:t>
      </w:r>
      <w:r w:rsidR="00BB08E3">
        <w:rPr>
          <w:rFonts w:ascii="Times New Roman" w:eastAsia="Calibri" w:hAnsi="Times New Roman" w:cs="Times New Roman"/>
          <w:sz w:val="24"/>
          <w:szCs w:val="24"/>
          <w:lang w:val="en-GB"/>
        </w:rPr>
        <w:t xml:space="preserve">which </w:t>
      </w:r>
      <w:r w:rsidR="00A77F97">
        <w:rPr>
          <w:rFonts w:ascii="Times New Roman" w:eastAsia="Calibri" w:hAnsi="Times New Roman" w:cs="Times New Roman"/>
          <w:sz w:val="24"/>
          <w:szCs w:val="24"/>
          <w:lang w:val="en-GB"/>
        </w:rPr>
        <w:t xml:space="preserve">materializes </w:t>
      </w:r>
      <w:r w:rsidR="00BB08E3">
        <w:rPr>
          <w:rFonts w:ascii="Times New Roman" w:eastAsia="Calibri" w:hAnsi="Times New Roman" w:cs="Times New Roman"/>
          <w:sz w:val="24"/>
          <w:szCs w:val="24"/>
          <w:lang w:val="en-GB"/>
        </w:rPr>
        <w:t xml:space="preserve">in </w:t>
      </w:r>
      <w:r w:rsidR="007C3FC3" w:rsidRPr="00873B4D">
        <w:rPr>
          <w:rFonts w:ascii="Times New Roman" w:eastAsia="Calibri" w:hAnsi="Times New Roman" w:cs="Times New Roman"/>
          <w:sz w:val="24"/>
          <w:szCs w:val="24"/>
          <w:lang w:val="en-GB"/>
        </w:rPr>
        <w:t>a</w:t>
      </w:r>
      <w:r w:rsidR="007C3FC3">
        <w:rPr>
          <w:rFonts w:ascii="Times New Roman" w:eastAsia="Calibri" w:hAnsi="Times New Roman" w:cs="Times New Roman"/>
          <w:sz w:val="24"/>
          <w:szCs w:val="24"/>
          <w:lang w:val="en-GB"/>
        </w:rPr>
        <w:t xml:space="preserve"> significant</w:t>
      </w:r>
      <w:r w:rsidR="007C3FC3" w:rsidRPr="00873B4D">
        <w:rPr>
          <w:rFonts w:ascii="Times New Roman" w:eastAsia="Calibri" w:hAnsi="Times New Roman" w:cs="Times New Roman"/>
          <w:sz w:val="24"/>
          <w:szCs w:val="24"/>
          <w:lang w:val="en-GB"/>
        </w:rPr>
        <w:t xml:space="preserve"> reduction in</w:t>
      </w:r>
      <w:r w:rsidR="007C3FC3">
        <w:rPr>
          <w:rFonts w:ascii="Times New Roman" w:eastAsia="Calibri" w:hAnsi="Times New Roman" w:cs="Times New Roman"/>
          <w:sz w:val="24"/>
          <w:szCs w:val="24"/>
          <w:lang w:val="en-GB"/>
        </w:rPr>
        <w:t xml:space="preserve"> </w:t>
      </w:r>
      <w:r w:rsidR="00A24959">
        <w:rPr>
          <w:rFonts w:ascii="Times New Roman" w:eastAsia="Calibri" w:hAnsi="Times New Roman" w:cs="Times New Roman"/>
          <w:sz w:val="24"/>
          <w:szCs w:val="24"/>
          <w:lang w:val="en-GB"/>
        </w:rPr>
        <w:t>profit</w:t>
      </w:r>
      <w:r w:rsidR="00E57281">
        <w:rPr>
          <w:rFonts w:ascii="Times New Roman" w:eastAsia="Calibri" w:hAnsi="Times New Roman" w:cs="Times New Roman"/>
          <w:sz w:val="24"/>
          <w:szCs w:val="24"/>
          <w:lang w:val="en-GB"/>
        </w:rPr>
        <w:t>ability and market value</w:t>
      </w:r>
      <w:r w:rsidR="007C3FC3" w:rsidRPr="00873B4D">
        <w:rPr>
          <w:rFonts w:ascii="Times New Roman" w:eastAsia="Calibri" w:hAnsi="Times New Roman" w:cs="Times New Roman"/>
          <w:sz w:val="24"/>
          <w:szCs w:val="24"/>
          <w:lang w:val="en-GB"/>
        </w:rPr>
        <w:t xml:space="preserve">. </w:t>
      </w:r>
      <w:r w:rsidR="007C3FC3">
        <w:rPr>
          <w:rFonts w:ascii="Times New Roman" w:eastAsia="Calibri" w:hAnsi="Times New Roman" w:cs="Times New Roman"/>
          <w:sz w:val="24"/>
          <w:szCs w:val="24"/>
          <w:lang w:val="en-GB"/>
        </w:rPr>
        <w:t>Alternatively</w:t>
      </w:r>
      <w:r w:rsidR="007C3FC3" w:rsidRPr="00A30720">
        <w:rPr>
          <w:rFonts w:ascii="Times New Roman" w:eastAsia="Calibri" w:hAnsi="Times New Roman" w:cs="Times New Roman"/>
          <w:sz w:val="24"/>
          <w:szCs w:val="24"/>
          <w:lang w:val="en-GB"/>
        </w:rPr>
        <w:t>, in the case of resource reduction, results suggest that the pre</w:t>
      </w:r>
      <w:r w:rsidR="007C3FC3" w:rsidRPr="003435A7">
        <w:rPr>
          <w:rFonts w:ascii="Times New Roman" w:eastAsia="Calibri" w:hAnsi="Times New Roman" w:cs="Times New Roman"/>
          <w:sz w:val="24"/>
          <w:szCs w:val="24"/>
          <w:lang w:val="en-GB"/>
        </w:rPr>
        <w:t>sence of such asymmetry actually</w:t>
      </w:r>
      <w:r w:rsidR="00291E35">
        <w:rPr>
          <w:rFonts w:ascii="Times New Roman" w:eastAsia="Calibri" w:hAnsi="Times New Roman" w:cs="Times New Roman"/>
          <w:sz w:val="24"/>
          <w:szCs w:val="24"/>
          <w:lang w:val="en-GB"/>
        </w:rPr>
        <w:t xml:space="preserve"> </w:t>
      </w:r>
      <w:r w:rsidR="007C3FC3" w:rsidRPr="003435A7">
        <w:rPr>
          <w:rFonts w:ascii="Times New Roman" w:eastAsia="Calibri" w:hAnsi="Times New Roman" w:cs="Times New Roman"/>
          <w:sz w:val="24"/>
          <w:szCs w:val="24"/>
          <w:lang w:val="en-GB"/>
        </w:rPr>
        <w:t>improves the buyer financial performance</w:t>
      </w:r>
      <w:r w:rsidR="007C3FC3" w:rsidRPr="007B16F5">
        <w:rPr>
          <w:rFonts w:ascii="Times New Roman" w:eastAsia="Calibri" w:hAnsi="Times New Roman" w:cs="Times New Roman"/>
          <w:sz w:val="24"/>
          <w:szCs w:val="24"/>
          <w:lang w:val="en-GB"/>
        </w:rPr>
        <w:t>.</w:t>
      </w:r>
      <w:r w:rsidR="00A30720">
        <w:rPr>
          <w:rFonts w:ascii="Times New Roman" w:eastAsia="Calibri" w:hAnsi="Times New Roman" w:cs="Times New Roman"/>
          <w:sz w:val="24"/>
          <w:szCs w:val="24"/>
          <w:lang w:val="en-GB"/>
        </w:rPr>
        <w:t xml:space="preserve"> This </w:t>
      </w:r>
      <w:r w:rsidR="00A77F97">
        <w:rPr>
          <w:rFonts w:ascii="Times New Roman" w:eastAsia="Calibri" w:hAnsi="Times New Roman" w:cs="Times New Roman"/>
          <w:sz w:val="24"/>
          <w:szCs w:val="24"/>
          <w:lang w:val="en-GB"/>
        </w:rPr>
        <w:t xml:space="preserve">might </w:t>
      </w:r>
      <w:r w:rsidR="00A30720">
        <w:rPr>
          <w:rFonts w:ascii="Times New Roman" w:eastAsia="Calibri" w:hAnsi="Times New Roman" w:cs="Times New Roman"/>
          <w:sz w:val="24"/>
          <w:szCs w:val="24"/>
          <w:lang w:val="en-GB"/>
        </w:rPr>
        <w:t xml:space="preserve">happen because resource reduction initiatives are often implemented </w:t>
      </w:r>
      <w:r w:rsidR="0087690D">
        <w:rPr>
          <w:rFonts w:ascii="Times New Roman" w:eastAsia="Calibri" w:hAnsi="Times New Roman" w:cs="Times New Roman"/>
          <w:sz w:val="24"/>
          <w:szCs w:val="24"/>
          <w:lang w:val="en-GB"/>
        </w:rPr>
        <w:t>in one side</w:t>
      </w:r>
      <w:r w:rsidR="00A714FE">
        <w:rPr>
          <w:rFonts w:ascii="Times New Roman" w:eastAsia="Calibri" w:hAnsi="Times New Roman" w:cs="Times New Roman"/>
          <w:sz w:val="24"/>
          <w:szCs w:val="24"/>
          <w:lang w:val="en-GB"/>
        </w:rPr>
        <w:t xml:space="preserve"> of the supply chain</w:t>
      </w:r>
      <w:r w:rsidR="0087690D">
        <w:rPr>
          <w:rFonts w:ascii="Times New Roman" w:eastAsia="Calibri" w:hAnsi="Times New Roman" w:cs="Times New Roman"/>
          <w:sz w:val="24"/>
          <w:szCs w:val="24"/>
          <w:lang w:val="en-GB"/>
        </w:rPr>
        <w:t xml:space="preserve">, mainly </w:t>
      </w:r>
      <w:r w:rsidR="00A30720">
        <w:rPr>
          <w:rFonts w:ascii="Times New Roman" w:eastAsia="Calibri" w:hAnsi="Times New Roman" w:cs="Times New Roman"/>
          <w:sz w:val="24"/>
          <w:szCs w:val="24"/>
          <w:lang w:val="en-GB"/>
        </w:rPr>
        <w:t xml:space="preserve">at </w:t>
      </w:r>
      <w:r w:rsidR="00A77F97">
        <w:rPr>
          <w:rFonts w:ascii="Times New Roman" w:eastAsia="Calibri" w:hAnsi="Times New Roman" w:cs="Times New Roman"/>
          <w:sz w:val="24"/>
          <w:szCs w:val="24"/>
          <w:lang w:val="en-GB"/>
        </w:rPr>
        <w:t xml:space="preserve">the </w:t>
      </w:r>
      <w:r w:rsidR="00A30720">
        <w:rPr>
          <w:rFonts w:ascii="Times New Roman" w:eastAsia="Calibri" w:hAnsi="Times New Roman" w:cs="Times New Roman"/>
          <w:sz w:val="24"/>
          <w:szCs w:val="24"/>
          <w:lang w:val="en-GB"/>
        </w:rPr>
        <w:t xml:space="preserve">suppliers rather than </w:t>
      </w:r>
      <w:r w:rsidR="00A30720">
        <w:rPr>
          <w:rFonts w:ascii="Times New Roman" w:eastAsia="Calibri" w:hAnsi="Times New Roman" w:cs="Times New Roman"/>
          <w:sz w:val="24"/>
          <w:szCs w:val="24"/>
          <w:lang w:val="en-GB"/>
        </w:rPr>
        <w:lastRenderedPageBreak/>
        <w:t xml:space="preserve">at the </w:t>
      </w:r>
      <w:r w:rsidR="00E73CB8">
        <w:rPr>
          <w:rFonts w:ascii="Times New Roman" w:eastAsia="Calibri" w:hAnsi="Times New Roman" w:cs="Times New Roman"/>
          <w:sz w:val="24"/>
          <w:szCs w:val="24"/>
          <w:lang w:val="en-GB"/>
        </w:rPr>
        <w:t>buyers</w:t>
      </w:r>
      <w:r w:rsidR="00A714FE">
        <w:rPr>
          <w:rFonts w:ascii="Times New Roman" w:eastAsia="Calibri" w:hAnsi="Times New Roman" w:cs="Times New Roman"/>
          <w:sz w:val="24"/>
          <w:szCs w:val="24"/>
          <w:lang w:val="en-GB"/>
        </w:rPr>
        <w:t>. As th</w:t>
      </w:r>
      <w:r w:rsidR="00244453">
        <w:rPr>
          <w:rFonts w:ascii="Times New Roman" w:eastAsia="Calibri" w:hAnsi="Times New Roman" w:cs="Times New Roman"/>
          <w:sz w:val="24"/>
          <w:szCs w:val="24"/>
          <w:lang w:val="en-GB"/>
        </w:rPr>
        <w:t>e</w:t>
      </w:r>
      <w:r w:rsidR="00A714FE">
        <w:rPr>
          <w:rFonts w:ascii="Times New Roman" w:eastAsia="Calibri" w:hAnsi="Times New Roman" w:cs="Times New Roman"/>
          <w:sz w:val="24"/>
          <w:szCs w:val="24"/>
          <w:lang w:val="en-GB"/>
        </w:rPr>
        <w:t xml:space="preserve"> </w:t>
      </w:r>
      <w:r w:rsidR="00E104E8">
        <w:rPr>
          <w:rFonts w:ascii="Times New Roman" w:eastAsia="Calibri" w:hAnsi="Times New Roman" w:cs="Times New Roman"/>
          <w:sz w:val="24"/>
          <w:szCs w:val="24"/>
          <w:lang w:val="en-GB"/>
        </w:rPr>
        <w:t xml:space="preserve">final </w:t>
      </w:r>
      <w:r w:rsidR="00026782">
        <w:rPr>
          <w:rFonts w:ascii="Times New Roman" w:eastAsia="Calibri" w:hAnsi="Times New Roman" w:cs="Times New Roman"/>
          <w:sz w:val="24"/>
          <w:szCs w:val="24"/>
          <w:lang w:val="en-GB"/>
        </w:rPr>
        <w:t>result</w:t>
      </w:r>
      <w:r w:rsidR="00A714FE">
        <w:rPr>
          <w:rFonts w:ascii="Times New Roman" w:eastAsia="Calibri" w:hAnsi="Times New Roman" w:cs="Times New Roman"/>
          <w:sz w:val="24"/>
          <w:szCs w:val="24"/>
          <w:lang w:val="en-GB"/>
        </w:rPr>
        <w:t xml:space="preserve"> is a product in which the production process has </w:t>
      </w:r>
      <w:r w:rsidR="00026782">
        <w:rPr>
          <w:rFonts w:ascii="Times New Roman" w:eastAsia="Calibri" w:hAnsi="Times New Roman" w:cs="Times New Roman"/>
          <w:sz w:val="24"/>
          <w:szCs w:val="24"/>
          <w:lang w:val="en-GB"/>
        </w:rPr>
        <w:t xml:space="preserve">minimized the </w:t>
      </w:r>
      <w:r w:rsidR="00E104E8">
        <w:rPr>
          <w:rFonts w:ascii="Times New Roman" w:eastAsia="Calibri" w:hAnsi="Times New Roman" w:cs="Times New Roman"/>
          <w:sz w:val="24"/>
          <w:szCs w:val="24"/>
          <w:lang w:val="en-GB"/>
        </w:rPr>
        <w:t xml:space="preserve">usage of </w:t>
      </w:r>
      <w:r w:rsidR="007374C7">
        <w:rPr>
          <w:rFonts w:ascii="Times New Roman" w:eastAsia="Calibri" w:hAnsi="Times New Roman" w:cs="Times New Roman"/>
          <w:sz w:val="24"/>
          <w:szCs w:val="24"/>
          <w:lang w:val="en-GB"/>
        </w:rPr>
        <w:t>resources, customer</w:t>
      </w:r>
      <w:r w:rsidR="00A714FE">
        <w:rPr>
          <w:rFonts w:ascii="Times New Roman" w:eastAsia="Calibri" w:hAnsi="Times New Roman" w:cs="Times New Roman"/>
          <w:sz w:val="24"/>
          <w:szCs w:val="24"/>
          <w:lang w:val="en-GB"/>
        </w:rPr>
        <w:t xml:space="preserve"> perceptions are </w:t>
      </w:r>
      <w:r w:rsidR="00E104E8">
        <w:rPr>
          <w:rFonts w:ascii="Times New Roman" w:eastAsia="Calibri" w:hAnsi="Times New Roman" w:cs="Times New Roman"/>
          <w:sz w:val="24"/>
          <w:szCs w:val="24"/>
          <w:lang w:val="en-GB"/>
        </w:rPr>
        <w:t>mostly</w:t>
      </w:r>
      <w:r w:rsidR="00A714FE">
        <w:rPr>
          <w:rFonts w:ascii="Times New Roman" w:eastAsia="Calibri" w:hAnsi="Times New Roman" w:cs="Times New Roman"/>
          <w:sz w:val="24"/>
          <w:szCs w:val="24"/>
          <w:lang w:val="en-GB"/>
        </w:rPr>
        <w:t xml:space="preserve"> positive, </w:t>
      </w:r>
      <w:r w:rsidR="00E104E8">
        <w:rPr>
          <w:rFonts w:ascii="Times New Roman" w:eastAsia="Calibri" w:hAnsi="Times New Roman" w:cs="Times New Roman"/>
          <w:sz w:val="24"/>
          <w:szCs w:val="24"/>
          <w:lang w:val="en-GB"/>
        </w:rPr>
        <w:t>no matter</w:t>
      </w:r>
      <w:r w:rsidR="00A714FE">
        <w:rPr>
          <w:rFonts w:ascii="Times New Roman" w:eastAsia="Calibri" w:hAnsi="Times New Roman" w:cs="Times New Roman"/>
          <w:sz w:val="24"/>
          <w:szCs w:val="24"/>
          <w:lang w:val="en-GB"/>
        </w:rPr>
        <w:t xml:space="preserve"> which </w:t>
      </w:r>
      <w:r w:rsidR="007E116C">
        <w:rPr>
          <w:rFonts w:ascii="Times New Roman" w:eastAsia="Calibri" w:hAnsi="Times New Roman" w:cs="Times New Roman"/>
          <w:sz w:val="24"/>
          <w:szCs w:val="24"/>
          <w:lang w:val="en-GB"/>
        </w:rPr>
        <w:t>party</w:t>
      </w:r>
      <w:r w:rsidR="00A714FE">
        <w:rPr>
          <w:rFonts w:ascii="Times New Roman" w:eastAsia="Calibri" w:hAnsi="Times New Roman" w:cs="Times New Roman"/>
          <w:sz w:val="24"/>
          <w:szCs w:val="24"/>
          <w:lang w:val="en-GB"/>
        </w:rPr>
        <w:t xml:space="preserve"> is leading.</w:t>
      </w:r>
      <w:r w:rsidR="0087690D">
        <w:rPr>
          <w:rFonts w:ascii="Times New Roman" w:eastAsia="Calibri" w:hAnsi="Times New Roman" w:cs="Times New Roman"/>
          <w:sz w:val="24"/>
          <w:szCs w:val="24"/>
          <w:lang w:val="en-GB"/>
        </w:rPr>
        <w:t xml:space="preserve"> </w:t>
      </w:r>
      <w:r w:rsidR="007F27D5">
        <w:rPr>
          <w:rFonts w:ascii="Times New Roman" w:eastAsia="Calibri" w:hAnsi="Times New Roman" w:cs="Times New Roman"/>
          <w:sz w:val="24"/>
          <w:szCs w:val="24"/>
          <w:lang w:val="en-GB"/>
        </w:rPr>
        <w:t xml:space="preserve">Moreover, </w:t>
      </w:r>
      <w:r w:rsidR="00BD5238">
        <w:rPr>
          <w:rFonts w:ascii="Times New Roman" w:eastAsia="Calibri" w:hAnsi="Times New Roman" w:cs="Times New Roman"/>
          <w:sz w:val="24"/>
          <w:szCs w:val="24"/>
          <w:lang w:val="en-GB"/>
        </w:rPr>
        <w:t>another</w:t>
      </w:r>
      <w:r w:rsidR="007F27D5">
        <w:rPr>
          <w:rFonts w:ascii="Times New Roman" w:eastAsia="Calibri" w:hAnsi="Times New Roman" w:cs="Times New Roman"/>
          <w:sz w:val="24"/>
          <w:szCs w:val="24"/>
          <w:lang w:val="en-GB"/>
        </w:rPr>
        <w:t xml:space="preserve"> effect of resource minimization may be reduced production costs, which </w:t>
      </w:r>
      <w:r w:rsidR="007374C7">
        <w:rPr>
          <w:rFonts w:ascii="Times New Roman" w:eastAsia="Calibri" w:hAnsi="Times New Roman" w:cs="Times New Roman"/>
          <w:sz w:val="24"/>
          <w:szCs w:val="24"/>
          <w:lang w:val="en-GB"/>
        </w:rPr>
        <w:t xml:space="preserve">also </w:t>
      </w:r>
      <w:r w:rsidR="007F27D5">
        <w:rPr>
          <w:rFonts w:ascii="Times New Roman" w:eastAsia="Calibri" w:hAnsi="Times New Roman" w:cs="Times New Roman"/>
          <w:sz w:val="24"/>
          <w:szCs w:val="24"/>
          <w:lang w:val="en-GB"/>
        </w:rPr>
        <w:t>positively affects profitability.</w:t>
      </w:r>
      <w:r w:rsidR="000A5625">
        <w:rPr>
          <w:rFonts w:ascii="Times New Roman" w:eastAsia="Calibri" w:hAnsi="Times New Roman" w:cs="Times New Roman"/>
          <w:sz w:val="24"/>
          <w:szCs w:val="24"/>
          <w:lang w:val="en-GB"/>
        </w:rPr>
        <w:t xml:space="preserve"> </w:t>
      </w:r>
    </w:p>
    <w:p w14:paraId="071E23D5" w14:textId="6CEC762E" w:rsidR="004235AB" w:rsidRDefault="007C3FC3" w:rsidP="004270F7">
      <w:pPr>
        <w:spacing w:line="480" w:lineRule="auto"/>
        <w:jc w:val="both"/>
        <w:rPr>
          <w:rFonts w:ascii="Times New Roman" w:eastAsia="Calibri" w:hAnsi="Times New Roman" w:cs="Times New Roman"/>
          <w:sz w:val="24"/>
          <w:szCs w:val="24"/>
          <w:lang w:val="en-GB"/>
        </w:rPr>
      </w:pPr>
      <w:r w:rsidRPr="00873B4D">
        <w:rPr>
          <w:rFonts w:ascii="Times New Roman" w:eastAsia="Calibri" w:hAnsi="Times New Roman" w:cs="Times New Roman"/>
          <w:sz w:val="24"/>
          <w:szCs w:val="24"/>
          <w:lang w:val="en-GB"/>
        </w:rPr>
        <w:t>Our results also provide some practical guidance for managers. First</w:t>
      </w:r>
      <w:r w:rsidR="00715B24">
        <w:rPr>
          <w:rFonts w:ascii="Times New Roman" w:eastAsia="Calibri" w:hAnsi="Times New Roman" w:cs="Times New Roman"/>
          <w:sz w:val="24"/>
          <w:szCs w:val="24"/>
          <w:lang w:val="en-GB"/>
        </w:rPr>
        <w:t>ly</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our research suggests that in some situations </w:t>
      </w:r>
      <w:r w:rsidRPr="00873B4D">
        <w:rPr>
          <w:rFonts w:ascii="Times New Roman" w:eastAsia="Calibri" w:hAnsi="Times New Roman" w:cs="Times New Roman"/>
          <w:sz w:val="24"/>
          <w:szCs w:val="24"/>
          <w:lang w:val="en-GB"/>
        </w:rPr>
        <w:t xml:space="preserve">investing in reducing buyer-supplier sustainability asymmetries can be counterproductive. Whereas aligning buyer and supplier </w:t>
      </w:r>
      <w:r>
        <w:rPr>
          <w:rFonts w:ascii="Times New Roman" w:eastAsia="Calibri" w:hAnsi="Times New Roman" w:cs="Times New Roman"/>
          <w:sz w:val="24"/>
          <w:szCs w:val="24"/>
          <w:lang w:val="en-GB"/>
        </w:rPr>
        <w:t>emissions reduction</w:t>
      </w:r>
      <w:r w:rsidRPr="00873B4D">
        <w:rPr>
          <w:rFonts w:ascii="Times New Roman" w:eastAsia="Calibri" w:hAnsi="Times New Roman" w:cs="Times New Roman"/>
          <w:sz w:val="24"/>
          <w:szCs w:val="24"/>
          <w:lang w:val="en-GB"/>
        </w:rPr>
        <w:t xml:space="preserve"> can directly improve buyer </w:t>
      </w:r>
      <w:r w:rsidR="00A24959">
        <w:rPr>
          <w:rFonts w:ascii="Times New Roman" w:eastAsia="Calibri" w:hAnsi="Times New Roman" w:cs="Times New Roman"/>
          <w:sz w:val="24"/>
          <w:szCs w:val="24"/>
          <w:lang w:val="en-GB"/>
        </w:rPr>
        <w:t>profitability</w:t>
      </w:r>
      <w:r w:rsidR="00893AFA">
        <w:rPr>
          <w:rFonts w:ascii="Times New Roman" w:eastAsia="Calibri" w:hAnsi="Times New Roman" w:cs="Times New Roman"/>
          <w:sz w:val="24"/>
          <w:szCs w:val="24"/>
          <w:lang w:val="en-GB"/>
        </w:rPr>
        <w:t xml:space="preserve"> and market valuation</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undertaking a similar approach in </w:t>
      </w:r>
      <w:r w:rsidR="00F32422">
        <w:rPr>
          <w:rFonts w:ascii="Times New Roman" w:eastAsia="Calibri" w:hAnsi="Times New Roman" w:cs="Times New Roman"/>
          <w:sz w:val="24"/>
          <w:szCs w:val="24"/>
          <w:lang w:val="en-GB"/>
        </w:rPr>
        <w:t xml:space="preserve">the </w:t>
      </w:r>
      <w:r w:rsidR="00893AFA">
        <w:rPr>
          <w:rFonts w:ascii="Times New Roman" w:eastAsia="Calibri" w:hAnsi="Times New Roman" w:cs="Times New Roman"/>
          <w:sz w:val="24"/>
          <w:szCs w:val="24"/>
          <w:lang w:val="en-GB"/>
        </w:rPr>
        <w:t xml:space="preserve">health and safety </w:t>
      </w:r>
      <w:r w:rsidR="00F32422">
        <w:rPr>
          <w:rFonts w:ascii="Times New Roman" w:eastAsia="Calibri" w:hAnsi="Times New Roman" w:cs="Times New Roman"/>
          <w:sz w:val="24"/>
          <w:szCs w:val="24"/>
          <w:lang w:val="en-GB"/>
        </w:rPr>
        <w:t>area</w:t>
      </w:r>
      <w:r w:rsidR="00893AFA">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do not lead to the same</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returns</w:t>
      </w:r>
      <w:r w:rsidRPr="00873B4D">
        <w:rPr>
          <w:rFonts w:ascii="Times New Roman" w:eastAsia="Calibri" w:hAnsi="Times New Roman" w:cs="Times New Roman"/>
          <w:sz w:val="24"/>
          <w:szCs w:val="24"/>
          <w:lang w:val="en-GB"/>
        </w:rPr>
        <w:t xml:space="preserve">. This result </w:t>
      </w:r>
      <w:r w:rsidR="00CC32FD">
        <w:rPr>
          <w:rFonts w:ascii="Times New Roman" w:eastAsia="Calibri" w:hAnsi="Times New Roman" w:cs="Times New Roman"/>
          <w:sz w:val="24"/>
          <w:szCs w:val="24"/>
          <w:lang w:val="en-GB"/>
        </w:rPr>
        <w:t>demonstrates</w:t>
      </w:r>
      <w:r w:rsidRPr="00873B4D">
        <w:rPr>
          <w:rFonts w:ascii="Times New Roman" w:eastAsia="Calibri" w:hAnsi="Times New Roman" w:cs="Times New Roman"/>
          <w:sz w:val="24"/>
          <w:szCs w:val="24"/>
          <w:lang w:val="en-GB"/>
        </w:rPr>
        <w:t xml:space="preserve"> that </w:t>
      </w:r>
      <w:r w:rsidR="00CC32FD">
        <w:rPr>
          <w:rFonts w:ascii="Times New Roman" w:eastAsia="Calibri" w:hAnsi="Times New Roman" w:cs="Times New Roman"/>
          <w:sz w:val="24"/>
          <w:szCs w:val="24"/>
          <w:lang w:val="en-GB"/>
        </w:rPr>
        <w:t xml:space="preserve">not </w:t>
      </w:r>
      <w:r w:rsidRPr="00873B4D">
        <w:rPr>
          <w:rFonts w:ascii="Times New Roman" w:eastAsia="Calibri" w:hAnsi="Times New Roman" w:cs="Times New Roman"/>
          <w:sz w:val="24"/>
          <w:szCs w:val="24"/>
          <w:lang w:val="en-GB"/>
        </w:rPr>
        <w:t xml:space="preserve">all dimensions of sustainability are equally important with respect to improving </w:t>
      </w:r>
      <w:r w:rsidR="00A24959">
        <w:rPr>
          <w:rFonts w:ascii="Times New Roman" w:eastAsia="Calibri" w:hAnsi="Times New Roman" w:cs="Times New Roman"/>
          <w:sz w:val="24"/>
          <w:szCs w:val="24"/>
          <w:lang w:val="en-GB"/>
        </w:rPr>
        <w:t xml:space="preserve">corporate </w:t>
      </w:r>
      <w:r w:rsidRPr="00873B4D">
        <w:rPr>
          <w:rFonts w:ascii="Times New Roman" w:eastAsia="Calibri" w:hAnsi="Times New Roman" w:cs="Times New Roman"/>
          <w:sz w:val="24"/>
          <w:szCs w:val="24"/>
          <w:lang w:val="en-GB"/>
        </w:rPr>
        <w:t xml:space="preserve">performance. This </w:t>
      </w:r>
      <w:r w:rsidR="00E3627E">
        <w:rPr>
          <w:rFonts w:ascii="Times New Roman" w:eastAsia="Calibri" w:hAnsi="Times New Roman" w:cs="Times New Roman"/>
          <w:sz w:val="24"/>
          <w:szCs w:val="24"/>
          <w:lang w:val="en-GB"/>
        </w:rPr>
        <w:t xml:space="preserve">is a relevant </w:t>
      </w:r>
      <w:r w:rsidRPr="00873B4D">
        <w:rPr>
          <w:rFonts w:ascii="Times New Roman" w:eastAsia="Calibri" w:hAnsi="Times New Roman" w:cs="Times New Roman"/>
          <w:sz w:val="24"/>
          <w:szCs w:val="24"/>
          <w:lang w:val="en-GB"/>
        </w:rPr>
        <w:t>finding</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 because </w:t>
      </w:r>
      <w:r w:rsidR="00E3627E">
        <w:rPr>
          <w:rFonts w:ascii="Times New Roman" w:eastAsia="Calibri" w:hAnsi="Times New Roman" w:cs="Times New Roman"/>
          <w:sz w:val="24"/>
          <w:szCs w:val="24"/>
          <w:lang w:val="en-GB"/>
        </w:rPr>
        <w:t xml:space="preserve">it implies that </w:t>
      </w:r>
      <w:r w:rsidRPr="00873B4D">
        <w:rPr>
          <w:rFonts w:ascii="Times New Roman" w:eastAsia="Calibri" w:hAnsi="Times New Roman" w:cs="Times New Roman"/>
          <w:sz w:val="24"/>
          <w:szCs w:val="24"/>
          <w:lang w:val="en-GB"/>
        </w:rPr>
        <w:t xml:space="preserve">in a scenario of financial and time constraints, </w:t>
      </w:r>
      <w:r w:rsidR="00BE31FA">
        <w:rPr>
          <w:rFonts w:ascii="Times New Roman" w:eastAsia="Calibri" w:hAnsi="Times New Roman" w:cs="Times New Roman"/>
          <w:sz w:val="24"/>
          <w:szCs w:val="24"/>
          <w:lang w:val="en-GB"/>
        </w:rPr>
        <w:t>the managers in sensitive sectors</w:t>
      </w:r>
      <w:r w:rsidR="00A24959" w:rsidRPr="00873B4D">
        <w:rPr>
          <w:rFonts w:ascii="Times New Roman" w:eastAsia="Calibri" w:hAnsi="Times New Roman" w:cs="Times New Roman"/>
          <w:sz w:val="24"/>
          <w:szCs w:val="24"/>
          <w:lang w:val="en-GB"/>
        </w:rPr>
        <w:t xml:space="preserve"> should not adopt the same approach in all sustainability areas.</w:t>
      </w:r>
      <w:r w:rsidR="00A24959">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Second</w:t>
      </w:r>
      <w:r w:rsidR="005B7A29">
        <w:rPr>
          <w:rFonts w:ascii="Times New Roman" w:eastAsia="Calibri" w:hAnsi="Times New Roman" w:cs="Times New Roman"/>
          <w:sz w:val="24"/>
          <w:szCs w:val="24"/>
          <w:lang w:val="en-GB"/>
        </w:rPr>
        <w:t>ly</w:t>
      </w:r>
      <w:r w:rsidRPr="00873B4D">
        <w:rPr>
          <w:rFonts w:ascii="Times New Roman" w:eastAsia="Calibri" w:hAnsi="Times New Roman" w:cs="Times New Roman"/>
          <w:sz w:val="24"/>
          <w:szCs w:val="24"/>
          <w:lang w:val="en-GB"/>
        </w:rPr>
        <w:t xml:space="preserve">, our results suggest that sustainability asymmetries can also lead to a net positive performance despite the fact that the buyer firm has shirked part of its responsibilities </w:t>
      </w:r>
      <w:r w:rsidR="00A77F97">
        <w:rPr>
          <w:rFonts w:ascii="Times New Roman" w:eastAsia="Calibri" w:hAnsi="Times New Roman" w:cs="Times New Roman"/>
          <w:sz w:val="24"/>
          <w:szCs w:val="24"/>
          <w:lang w:val="en-GB"/>
        </w:rPr>
        <w:t>in</w:t>
      </w:r>
      <w:r w:rsidR="00A77F97" w:rsidRPr="00873B4D">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the social contract. Indeed</w:t>
      </w:r>
      <w:r>
        <w:rPr>
          <w:rFonts w:ascii="Times New Roman" w:eastAsia="Calibri" w:hAnsi="Times New Roman" w:cs="Times New Roman"/>
          <w:sz w:val="24"/>
          <w:szCs w:val="24"/>
          <w:lang w:val="en-GB"/>
        </w:rPr>
        <w:t>,</w:t>
      </w:r>
      <w:r w:rsidRPr="001103B3">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in </w:t>
      </w:r>
      <w:r w:rsidRPr="00873B4D">
        <w:rPr>
          <w:rFonts w:ascii="Times New Roman" w:eastAsia="Calibri" w:hAnsi="Times New Roman" w:cs="Times New Roman"/>
          <w:sz w:val="24"/>
          <w:szCs w:val="24"/>
          <w:lang w:val="en-GB"/>
        </w:rPr>
        <w:t xml:space="preserve">some of the sustainability </w:t>
      </w:r>
      <w:r>
        <w:rPr>
          <w:rFonts w:ascii="Times New Roman" w:eastAsia="Calibri" w:hAnsi="Times New Roman" w:cs="Times New Roman"/>
          <w:sz w:val="24"/>
          <w:szCs w:val="24"/>
          <w:lang w:val="en-GB"/>
        </w:rPr>
        <w:t>areas (</w:t>
      </w:r>
      <w:r w:rsidR="00A77F97">
        <w:rPr>
          <w:rFonts w:ascii="Times New Roman" w:eastAsia="Calibri" w:hAnsi="Times New Roman" w:cs="Times New Roman"/>
          <w:sz w:val="24"/>
          <w:szCs w:val="24"/>
          <w:lang w:val="en-GB"/>
        </w:rPr>
        <w:t>e.g.,</w:t>
      </w:r>
      <w:r>
        <w:rPr>
          <w:rFonts w:ascii="Times New Roman" w:eastAsia="Calibri" w:hAnsi="Times New Roman" w:cs="Times New Roman"/>
          <w:sz w:val="24"/>
          <w:szCs w:val="24"/>
          <w:lang w:val="en-GB"/>
        </w:rPr>
        <w:t xml:space="preserve"> resource reduction),</w:t>
      </w:r>
      <w:r w:rsidRPr="00873B4D">
        <w:rPr>
          <w:rFonts w:ascii="Times New Roman" w:eastAsia="Calibri" w:hAnsi="Times New Roman" w:cs="Times New Roman"/>
          <w:sz w:val="24"/>
          <w:szCs w:val="24"/>
          <w:lang w:val="en-GB"/>
        </w:rPr>
        <w:t xml:space="preserve"> it can be interesting for buyers to decouple </w:t>
      </w:r>
      <w:r>
        <w:rPr>
          <w:rFonts w:ascii="Times New Roman" w:eastAsia="Calibri" w:hAnsi="Times New Roman" w:cs="Times New Roman"/>
          <w:sz w:val="24"/>
          <w:szCs w:val="24"/>
          <w:lang w:val="en-GB"/>
        </w:rPr>
        <w:t xml:space="preserve">their actions </w:t>
      </w:r>
      <w:r w:rsidRPr="00873B4D">
        <w:rPr>
          <w:rFonts w:ascii="Times New Roman" w:eastAsia="Calibri" w:hAnsi="Times New Roman" w:cs="Times New Roman"/>
          <w:sz w:val="24"/>
          <w:szCs w:val="24"/>
          <w:lang w:val="en-GB"/>
        </w:rPr>
        <w:t xml:space="preserve">from </w:t>
      </w:r>
      <w:r>
        <w:rPr>
          <w:rFonts w:ascii="Times New Roman" w:eastAsia="Calibri" w:hAnsi="Times New Roman" w:cs="Times New Roman"/>
          <w:sz w:val="24"/>
          <w:szCs w:val="24"/>
          <w:lang w:val="en-GB"/>
        </w:rPr>
        <w:t xml:space="preserve">that of </w:t>
      </w:r>
      <w:r w:rsidRPr="00873B4D">
        <w:rPr>
          <w:rFonts w:ascii="Times New Roman" w:eastAsia="Calibri" w:hAnsi="Times New Roman" w:cs="Times New Roman"/>
          <w:sz w:val="24"/>
          <w:szCs w:val="24"/>
          <w:lang w:val="en-GB"/>
        </w:rPr>
        <w:t>their suppliers</w:t>
      </w:r>
      <w:r>
        <w:rPr>
          <w:rFonts w:ascii="Times New Roman" w:eastAsia="Calibri" w:hAnsi="Times New Roman" w:cs="Times New Roman"/>
          <w:sz w:val="24"/>
          <w:szCs w:val="24"/>
          <w:lang w:val="en-GB"/>
        </w:rPr>
        <w:t>.</w:t>
      </w:r>
      <w:r w:rsidRPr="00873B4D">
        <w:rPr>
          <w:rFonts w:ascii="Times New Roman" w:eastAsia="Calibri" w:hAnsi="Times New Roman" w:cs="Times New Roman"/>
          <w:sz w:val="24"/>
          <w:szCs w:val="24"/>
          <w:lang w:val="en-GB"/>
        </w:rPr>
        <w:t xml:space="preserve"> </w:t>
      </w:r>
      <w:r w:rsidR="007662DF">
        <w:rPr>
          <w:rFonts w:ascii="Times New Roman" w:eastAsia="Calibri" w:hAnsi="Times New Roman" w:cs="Times New Roman"/>
          <w:sz w:val="24"/>
          <w:szCs w:val="24"/>
          <w:lang w:val="en-GB"/>
        </w:rPr>
        <w:t xml:space="preserve">Another important managerial implication is that for </w:t>
      </w:r>
      <w:r w:rsidR="005B7A29">
        <w:rPr>
          <w:rFonts w:ascii="Times New Roman" w:eastAsia="Calibri" w:hAnsi="Times New Roman" w:cs="Times New Roman"/>
          <w:sz w:val="24"/>
          <w:szCs w:val="24"/>
          <w:lang w:val="en-GB"/>
        </w:rPr>
        <w:t>other</w:t>
      </w:r>
      <w:r w:rsidR="007662DF">
        <w:rPr>
          <w:rFonts w:ascii="Times New Roman" w:eastAsia="Calibri" w:hAnsi="Times New Roman" w:cs="Times New Roman"/>
          <w:sz w:val="24"/>
          <w:szCs w:val="24"/>
          <w:lang w:val="en-GB"/>
        </w:rPr>
        <w:t xml:space="preserve"> sustainability areas</w:t>
      </w:r>
      <w:r w:rsidR="007F28E7">
        <w:rPr>
          <w:rFonts w:ascii="Times New Roman" w:eastAsia="Calibri" w:hAnsi="Times New Roman" w:cs="Times New Roman"/>
          <w:sz w:val="24"/>
          <w:szCs w:val="24"/>
          <w:lang w:val="en-GB"/>
        </w:rPr>
        <w:t xml:space="preserve"> (e.g.</w:t>
      </w:r>
      <w:r w:rsidR="004C37DA">
        <w:rPr>
          <w:rFonts w:ascii="Times New Roman" w:eastAsia="Calibri" w:hAnsi="Times New Roman" w:cs="Times New Roman"/>
          <w:sz w:val="24"/>
          <w:szCs w:val="24"/>
          <w:lang w:val="en-GB"/>
        </w:rPr>
        <w:t>,</w:t>
      </w:r>
      <w:r w:rsidR="007F28E7">
        <w:rPr>
          <w:rFonts w:ascii="Times New Roman" w:eastAsia="Calibri" w:hAnsi="Times New Roman" w:cs="Times New Roman"/>
          <w:sz w:val="24"/>
          <w:szCs w:val="24"/>
          <w:lang w:val="en-GB"/>
        </w:rPr>
        <w:t xml:space="preserve"> health and safety)</w:t>
      </w:r>
      <w:r w:rsidR="007662DF">
        <w:rPr>
          <w:rFonts w:ascii="Times New Roman" w:eastAsia="Calibri" w:hAnsi="Times New Roman" w:cs="Times New Roman"/>
          <w:sz w:val="24"/>
          <w:szCs w:val="24"/>
          <w:lang w:val="en-GB"/>
        </w:rPr>
        <w:t>, asymmetries will have a</w:t>
      </w:r>
      <w:r w:rsidR="00893AFA">
        <w:rPr>
          <w:rFonts w:ascii="Times New Roman" w:eastAsia="Calibri" w:hAnsi="Times New Roman" w:cs="Times New Roman"/>
          <w:sz w:val="24"/>
          <w:szCs w:val="24"/>
          <w:lang w:val="en-GB"/>
        </w:rPr>
        <w:t xml:space="preserve"> </w:t>
      </w:r>
      <w:r w:rsidR="007662DF">
        <w:rPr>
          <w:rFonts w:ascii="Times New Roman" w:eastAsia="Calibri" w:hAnsi="Times New Roman" w:cs="Times New Roman"/>
          <w:sz w:val="24"/>
          <w:szCs w:val="24"/>
          <w:lang w:val="en-GB"/>
        </w:rPr>
        <w:t xml:space="preserve">positive impact on buyer financial performance. This is </w:t>
      </w:r>
      <w:r w:rsidR="00BD5238">
        <w:rPr>
          <w:rFonts w:ascii="Times New Roman" w:eastAsia="Calibri" w:hAnsi="Times New Roman" w:cs="Times New Roman"/>
          <w:sz w:val="24"/>
          <w:szCs w:val="24"/>
          <w:lang w:val="en-GB"/>
        </w:rPr>
        <w:t>highly relevant,</w:t>
      </w:r>
      <w:r w:rsidR="007662DF">
        <w:rPr>
          <w:rFonts w:ascii="Times New Roman" w:eastAsia="Calibri" w:hAnsi="Times New Roman" w:cs="Times New Roman"/>
          <w:sz w:val="24"/>
          <w:szCs w:val="24"/>
          <w:lang w:val="en-GB"/>
        </w:rPr>
        <w:t xml:space="preserve"> because it implies that buyer firms could adopt a more internally-oriented approach</w:t>
      </w:r>
      <w:r w:rsidR="00AE3300">
        <w:rPr>
          <w:rFonts w:ascii="Times New Roman" w:eastAsia="Calibri" w:hAnsi="Times New Roman" w:cs="Times New Roman"/>
          <w:sz w:val="24"/>
          <w:szCs w:val="24"/>
          <w:lang w:val="en-GB"/>
        </w:rPr>
        <w:t xml:space="preserve"> (i.e. focusing on internal improvements rather than at suppliers)</w:t>
      </w:r>
      <w:r w:rsidR="00893AFA">
        <w:rPr>
          <w:rFonts w:ascii="Times New Roman" w:eastAsia="Calibri" w:hAnsi="Times New Roman" w:cs="Times New Roman"/>
          <w:sz w:val="24"/>
          <w:szCs w:val="24"/>
          <w:lang w:val="en-GB"/>
        </w:rPr>
        <w:t xml:space="preserve"> to enhance their profitability</w:t>
      </w:r>
      <w:r w:rsidR="007662DF">
        <w:rPr>
          <w:rFonts w:ascii="Times New Roman" w:eastAsia="Calibri" w:hAnsi="Times New Roman" w:cs="Times New Roman"/>
          <w:sz w:val="24"/>
          <w:szCs w:val="24"/>
          <w:lang w:val="en-GB"/>
        </w:rPr>
        <w:t xml:space="preserve">. </w:t>
      </w:r>
      <w:r w:rsidR="00EF0454">
        <w:rPr>
          <w:rFonts w:ascii="Times New Roman" w:eastAsia="Calibri" w:hAnsi="Times New Roman" w:cs="Times New Roman"/>
          <w:sz w:val="24"/>
          <w:szCs w:val="24"/>
          <w:lang w:val="en-GB"/>
        </w:rPr>
        <w:t>Lastly, in specific areas (</w:t>
      </w:r>
      <w:r w:rsidR="005915F7">
        <w:rPr>
          <w:rFonts w:ascii="Times New Roman" w:eastAsia="Calibri" w:hAnsi="Times New Roman" w:cs="Times New Roman"/>
          <w:sz w:val="24"/>
          <w:szCs w:val="24"/>
          <w:lang w:val="en-GB"/>
        </w:rPr>
        <w:t>e.g.,</w:t>
      </w:r>
      <w:r w:rsidR="00EF0454">
        <w:rPr>
          <w:rFonts w:ascii="Times New Roman" w:eastAsia="Calibri" w:hAnsi="Times New Roman" w:cs="Times New Roman"/>
          <w:sz w:val="24"/>
          <w:szCs w:val="24"/>
          <w:lang w:val="en-GB"/>
        </w:rPr>
        <w:t xml:space="preserve"> emissions reduction), </w:t>
      </w:r>
      <w:r w:rsidRPr="00873B4D">
        <w:rPr>
          <w:rFonts w:ascii="Times New Roman" w:eastAsia="Calibri" w:hAnsi="Times New Roman" w:cs="Times New Roman"/>
          <w:sz w:val="24"/>
          <w:szCs w:val="24"/>
          <w:lang w:val="en-GB"/>
        </w:rPr>
        <w:t xml:space="preserve">buyers </w:t>
      </w:r>
      <w:r w:rsidR="00EF0454">
        <w:rPr>
          <w:rFonts w:ascii="Times New Roman" w:eastAsia="Calibri" w:hAnsi="Times New Roman" w:cs="Times New Roman"/>
          <w:sz w:val="24"/>
          <w:szCs w:val="24"/>
          <w:lang w:val="en-GB"/>
        </w:rPr>
        <w:t>could benefit from reducing</w:t>
      </w:r>
      <w:r w:rsidRPr="00873B4D">
        <w:rPr>
          <w:rFonts w:ascii="Times New Roman" w:eastAsia="Calibri" w:hAnsi="Times New Roman" w:cs="Times New Roman"/>
          <w:sz w:val="24"/>
          <w:szCs w:val="24"/>
          <w:lang w:val="en-GB"/>
        </w:rPr>
        <w:t xml:space="preserve"> asymmetries by aligning their efforts with suppliers. </w:t>
      </w:r>
      <w:r w:rsidRPr="00A30720">
        <w:rPr>
          <w:rFonts w:ascii="Times New Roman" w:eastAsia="Calibri" w:hAnsi="Times New Roman" w:cs="Times New Roman"/>
          <w:sz w:val="24"/>
          <w:szCs w:val="24"/>
          <w:lang w:val="en-GB"/>
        </w:rPr>
        <w:t>This could be done by establishing common metrics, policies</w:t>
      </w:r>
      <w:r w:rsidR="005915F7">
        <w:rPr>
          <w:rFonts w:ascii="Times New Roman" w:eastAsia="Calibri" w:hAnsi="Times New Roman" w:cs="Times New Roman"/>
          <w:sz w:val="24"/>
          <w:szCs w:val="24"/>
          <w:lang w:val="en-GB"/>
        </w:rPr>
        <w:t>,</w:t>
      </w:r>
      <w:r w:rsidRPr="00A30720">
        <w:rPr>
          <w:rFonts w:ascii="Times New Roman" w:eastAsia="Calibri" w:hAnsi="Times New Roman" w:cs="Times New Roman"/>
          <w:sz w:val="24"/>
          <w:szCs w:val="24"/>
          <w:lang w:val="en-GB"/>
        </w:rPr>
        <w:t xml:space="preserve"> and goals, and working </w:t>
      </w:r>
      <w:r w:rsidR="005915F7">
        <w:rPr>
          <w:rFonts w:ascii="Times New Roman" w:eastAsia="Calibri" w:hAnsi="Times New Roman" w:cs="Times New Roman"/>
          <w:sz w:val="24"/>
          <w:szCs w:val="24"/>
          <w:lang w:val="en-GB"/>
        </w:rPr>
        <w:t xml:space="preserve">in </w:t>
      </w:r>
      <w:r w:rsidR="005915F7" w:rsidRPr="00A30720">
        <w:rPr>
          <w:rFonts w:ascii="Times New Roman" w:eastAsia="Calibri" w:hAnsi="Times New Roman" w:cs="Times New Roman"/>
          <w:sz w:val="24"/>
          <w:szCs w:val="24"/>
          <w:lang w:val="en-GB"/>
        </w:rPr>
        <w:t>collaborati</w:t>
      </w:r>
      <w:r w:rsidR="005915F7">
        <w:rPr>
          <w:rFonts w:ascii="Times New Roman" w:eastAsia="Calibri" w:hAnsi="Times New Roman" w:cs="Times New Roman"/>
          <w:sz w:val="24"/>
          <w:szCs w:val="24"/>
          <w:lang w:val="en-GB"/>
        </w:rPr>
        <w:t>on</w:t>
      </w:r>
      <w:r w:rsidR="005915F7" w:rsidRPr="00A30720">
        <w:rPr>
          <w:rFonts w:ascii="Times New Roman" w:eastAsia="Calibri" w:hAnsi="Times New Roman" w:cs="Times New Roman"/>
          <w:sz w:val="24"/>
          <w:szCs w:val="24"/>
          <w:lang w:val="en-GB"/>
        </w:rPr>
        <w:t xml:space="preserve"> </w:t>
      </w:r>
      <w:r w:rsidRPr="00A30720">
        <w:rPr>
          <w:rFonts w:ascii="Times New Roman" w:eastAsia="Calibri" w:hAnsi="Times New Roman" w:cs="Times New Roman"/>
          <w:sz w:val="24"/>
          <w:szCs w:val="24"/>
          <w:lang w:val="en-GB"/>
        </w:rPr>
        <w:t>with suppliers</w:t>
      </w:r>
      <w:r w:rsidR="00AE3300">
        <w:rPr>
          <w:rFonts w:ascii="Times New Roman" w:eastAsia="Calibri" w:hAnsi="Times New Roman" w:cs="Times New Roman"/>
          <w:sz w:val="24"/>
          <w:szCs w:val="24"/>
          <w:lang w:val="en-GB"/>
        </w:rPr>
        <w:t>,</w:t>
      </w:r>
      <w:r w:rsidR="00893AFA">
        <w:rPr>
          <w:rFonts w:ascii="Times New Roman" w:eastAsia="Calibri" w:hAnsi="Times New Roman" w:cs="Times New Roman"/>
          <w:sz w:val="24"/>
          <w:szCs w:val="24"/>
          <w:lang w:val="en-GB"/>
        </w:rPr>
        <w:t xml:space="preserve"> as </w:t>
      </w:r>
      <w:r w:rsidR="00BD5238">
        <w:rPr>
          <w:rFonts w:ascii="Times New Roman" w:eastAsia="Calibri" w:hAnsi="Times New Roman" w:cs="Times New Roman"/>
          <w:sz w:val="24"/>
          <w:szCs w:val="24"/>
          <w:lang w:val="en-GB"/>
        </w:rPr>
        <w:t xml:space="preserve">an </w:t>
      </w:r>
      <w:r w:rsidR="00893AFA">
        <w:rPr>
          <w:rFonts w:ascii="Times New Roman" w:eastAsia="Calibri" w:hAnsi="Times New Roman" w:cs="Times New Roman"/>
          <w:sz w:val="24"/>
          <w:szCs w:val="24"/>
          <w:lang w:val="en-GB"/>
        </w:rPr>
        <w:t xml:space="preserve">unbalanced approach </w:t>
      </w:r>
      <w:r w:rsidR="00AE3300">
        <w:rPr>
          <w:rFonts w:ascii="Times New Roman" w:eastAsia="Calibri" w:hAnsi="Times New Roman" w:cs="Times New Roman"/>
          <w:sz w:val="24"/>
          <w:szCs w:val="24"/>
          <w:lang w:val="en-GB"/>
        </w:rPr>
        <w:t xml:space="preserve">would </w:t>
      </w:r>
      <w:r w:rsidR="00893AFA">
        <w:rPr>
          <w:rFonts w:ascii="Times New Roman" w:eastAsia="Calibri" w:hAnsi="Times New Roman" w:cs="Times New Roman"/>
          <w:sz w:val="24"/>
          <w:szCs w:val="24"/>
          <w:lang w:val="en-GB"/>
        </w:rPr>
        <w:t>seriously harm their financial and market performance</w:t>
      </w:r>
      <w:r w:rsidRPr="00A30720">
        <w:rPr>
          <w:rFonts w:ascii="Times New Roman" w:eastAsia="Calibri" w:hAnsi="Times New Roman" w:cs="Times New Roman"/>
          <w:sz w:val="24"/>
          <w:szCs w:val="24"/>
          <w:lang w:val="en-GB"/>
        </w:rPr>
        <w:t>.</w:t>
      </w:r>
      <w:r w:rsidR="00BE31FA" w:rsidRPr="00A30720">
        <w:rPr>
          <w:rFonts w:ascii="Times New Roman" w:eastAsia="Calibri" w:hAnsi="Times New Roman" w:cs="Times New Roman"/>
          <w:sz w:val="24"/>
          <w:szCs w:val="24"/>
          <w:lang w:val="en-GB"/>
        </w:rPr>
        <w:t xml:space="preserve"> </w:t>
      </w:r>
      <w:r w:rsidR="008E2B03">
        <w:rPr>
          <w:rFonts w:ascii="Times New Roman" w:eastAsia="Calibri" w:hAnsi="Times New Roman" w:cs="Times New Roman"/>
          <w:sz w:val="24"/>
          <w:szCs w:val="24"/>
          <w:lang w:val="en-GB"/>
        </w:rPr>
        <w:t xml:space="preserve">For </w:t>
      </w:r>
      <w:r w:rsidR="008E2B03">
        <w:rPr>
          <w:rFonts w:ascii="Times New Roman" w:eastAsia="Calibri" w:hAnsi="Times New Roman" w:cs="Times New Roman"/>
          <w:sz w:val="24"/>
          <w:szCs w:val="24"/>
          <w:lang w:val="en-GB"/>
        </w:rPr>
        <w:lastRenderedPageBreak/>
        <w:t xml:space="preserve">example, </w:t>
      </w:r>
      <w:r w:rsidR="00A30720" w:rsidRPr="00A30720">
        <w:rPr>
          <w:rFonts w:ascii="Times New Roman" w:eastAsia="Calibri" w:hAnsi="Times New Roman" w:cs="Times New Roman"/>
          <w:sz w:val="24"/>
          <w:szCs w:val="24"/>
          <w:lang w:val="en-GB"/>
        </w:rPr>
        <w:t xml:space="preserve">BMW has integrated </w:t>
      </w:r>
      <w:r w:rsidR="00A30720">
        <w:rPr>
          <w:rFonts w:ascii="Times New Roman" w:eastAsia="Calibri" w:hAnsi="Times New Roman" w:cs="Times New Roman"/>
          <w:sz w:val="24"/>
          <w:szCs w:val="24"/>
          <w:lang w:val="en-GB"/>
        </w:rPr>
        <w:t>Carbon Disclosure Project (</w:t>
      </w:r>
      <w:r w:rsidR="00A30720" w:rsidRPr="00A30720">
        <w:rPr>
          <w:rFonts w:ascii="Times New Roman" w:eastAsia="Calibri" w:hAnsi="Times New Roman" w:cs="Times New Roman"/>
          <w:sz w:val="24"/>
          <w:szCs w:val="24"/>
          <w:lang w:val="en-GB"/>
        </w:rPr>
        <w:t>CDP</w:t>
      </w:r>
      <w:r w:rsidR="00A30720">
        <w:rPr>
          <w:rFonts w:ascii="Times New Roman" w:eastAsia="Calibri" w:hAnsi="Times New Roman" w:cs="Times New Roman"/>
          <w:sz w:val="24"/>
          <w:szCs w:val="24"/>
          <w:lang w:val="en-GB"/>
        </w:rPr>
        <w:t>)</w:t>
      </w:r>
      <w:r w:rsidR="00A30720" w:rsidRPr="00A30720">
        <w:rPr>
          <w:rFonts w:ascii="Times New Roman" w:eastAsia="Calibri" w:hAnsi="Times New Roman" w:cs="Times New Roman"/>
          <w:sz w:val="24"/>
          <w:szCs w:val="24"/>
          <w:lang w:val="en-GB"/>
        </w:rPr>
        <w:t xml:space="preserve"> supply chain</w:t>
      </w:r>
      <w:r w:rsidR="00A30720">
        <w:rPr>
          <w:rFonts w:ascii="Times New Roman" w:eastAsia="Calibri" w:hAnsi="Times New Roman" w:cs="Times New Roman"/>
          <w:sz w:val="24"/>
          <w:szCs w:val="24"/>
          <w:lang w:val="en-GB"/>
        </w:rPr>
        <w:t xml:space="preserve"> </w:t>
      </w:r>
      <w:r w:rsidR="00A30720" w:rsidRPr="00A30720">
        <w:rPr>
          <w:rFonts w:ascii="Times New Roman" w:eastAsia="Calibri" w:hAnsi="Times New Roman" w:cs="Times New Roman"/>
          <w:sz w:val="24"/>
          <w:szCs w:val="24"/>
          <w:lang w:val="en-GB"/>
        </w:rPr>
        <w:t xml:space="preserve">scores into its procurement process as part of its </w:t>
      </w:r>
      <w:r w:rsidR="00A30720">
        <w:rPr>
          <w:rFonts w:ascii="Times New Roman" w:eastAsia="Calibri" w:hAnsi="Times New Roman" w:cs="Times New Roman"/>
          <w:sz w:val="24"/>
          <w:szCs w:val="24"/>
          <w:lang w:val="en-GB"/>
        </w:rPr>
        <w:t>“</w:t>
      </w:r>
      <w:r w:rsidR="00A30720" w:rsidRPr="00A30720">
        <w:rPr>
          <w:rFonts w:ascii="Times New Roman" w:eastAsia="Calibri" w:hAnsi="Times New Roman" w:cs="Times New Roman"/>
          <w:sz w:val="24"/>
          <w:szCs w:val="24"/>
          <w:lang w:val="en-GB"/>
        </w:rPr>
        <w:t>Drive Sustainability</w:t>
      </w:r>
      <w:r w:rsidR="00A30720">
        <w:rPr>
          <w:rFonts w:ascii="Times New Roman" w:eastAsia="Calibri" w:hAnsi="Times New Roman" w:cs="Times New Roman"/>
          <w:sz w:val="24"/>
          <w:szCs w:val="24"/>
          <w:lang w:val="en-GB"/>
        </w:rPr>
        <w:t xml:space="preserve">” </w:t>
      </w:r>
      <w:r w:rsidR="00A30720" w:rsidRPr="00A30720">
        <w:rPr>
          <w:rFonts w:ascii="Times New Roman" w:eastAsia="Calibri" w:hAnsi="Times New Roman" w:cs="Times New Roman"/>
          <w:sz w:val="24"/>
          <w:szCs w:val="24"/>
          <w:lang w:val="en-GB"/>
        </w:rPr>
        <w:t>partnership</w:t>
      </w:r>
      <w:r w:rsidR="00A30720">
        <w:rPr>
          <w:rFonts w:ascii="Times New Roman" w:eastAsia="Calibri" w:hAnsi="Times New Roman" w:cs="Times New Roman"/>
          <w:sz w:val="24"/>
          <w:szCs w:val="24"/>
          <w:lang w:val="en-GB"/>
        </w:rPr>
        <w:t>, which aims to foster sustainability of some of the main players in the automotive supply chain</w:t>
      </w:r>
      <w:r w:rsidR="00BD5238">
        <w:rPr>
          <w:rFonts w:ascii="Times New Roman" w:eastAsia="Calibri" w:hAnsi="Times New Roman" w:cs="Times New Roman"/>
          <w:sz w:val="24"/>
          <w:szCs w:val="24"/>
          <w:lang w:val="en-GB"/>
        </w:rPr>
        <w:t xml:space="preserve"> </w:t>
      </w:r>
      <w:r w:rsidR="00F3370E" w:rsidRPr="007A6E4B">
        <w:rPr>
          <w:rFonts w:ascii="Times New Roman" w:hAnsi="Times New Roman" w:cs="Times New Roman"/>
          <w:sz w:val="24"/>
          <w:lang w:val="en-US"/>
        </w:rPr>
        <w:t>(EPA, 2018)</w:t>
      </w:r>
      <w:r w:rsidR="00A30720" w:rsidRPr="00A30720">
        <w:rPr>
          <w:rFonts w:ascii="Times New Roman" w:eastAsia="Calibri" w:hAnsi="Times New Roman" w:cs="Times New Roman"/>
          <w:sz w:val="24"/>
          <w:szCs w:val="24"/>
          <w:lang w:val="en-GB"/>
        </w:rPr>
        <w:t>.</w:t>
      </w:r>
      <w:r w:rsidR="005738BA">
        <w:rPr>
          <w:rFonts w:ascii="Times New Roman" w:eastAsia="Calibri" w:hAnsi="Times New Roman" w:cs="Times New Roman"/>
          <w:sz w:val="24"/>
          <w:szCs w:val="24"/>
          <w:lang w:val="en-GB"/>
        </w:rPr>
        <w:t xml:space="preserve"> </w:t>
      </w:r>
      <w:r w:rsidR="00BE31FA">
        <w:rPr>
          <w:rFonts w:ascii="Times New Roman" w:eastAsia="Calibri" w:hAnsi="Times New Roman" w:cs="Times New Roman"/>
          <w:sz w:val="24"/>
          <w:szCs w:val="24"/>
          <w:lang w:val="en-GB"/>
        </w:rPr>
        <w:t>The high institutiona</w:t>
      </w:r>
      <w:r w:rsidR="00D6279A">
        <w:rPr>
          <w:rFonts w:ascii="Times New Roman" w:eastAsia="Calibri" w:hAnsi="Times New Roman" w:cs="Times New Roman"/>
          <w:sz w:val="24"/>
          <w:szCs w:val="24"/>
          <w:lang w:val="en-GB"/>
        </w:rPr>
        <w:t>lization</w:t>
      </w:r>
      <w:r w:rsidR="00BE31FA">
        <w:rPr>
          <w:rFonts w:ascii="Times New Roman" w:eastAsia="Calibri" w:hAnsi="Times New Roman" w:cs="Times New Roman"/>
          <w:sz w:val="24"/>
          <w:szCs w:val="24"/>
          <w:lang w:val="en-GB"/>
        </w:rPr>
        <w:t xml:space="preserve"> of the emissions reduction</w:t>
      </w:r>
      <w:r w:rsidRPr="00873B4D">
        <w:rPr>
          <w:rFonts w:ascii="Times New Roman" w:eastAsia="Calibri" w:hAnsi="Times New Roman" w:cs="Times New Roman"/>
          <w:sz w:val="24"/>
          <w:szCs w:val="24"/>
          <w:lang w:val="en-GB"/>
        </w:rPr>
        <w:t xml:space="preserve"> </w:t>
      </w:r>
      <w:r w:rsidR="00BE31FA">
        <w:rPr>
          <w:rFonts w:ascii="Times New Roman" w:eastAsia="Calibri" w:hAnsi="Times New Roman" w:cs="Times New Roman"/>
          <w:sz w:val="24"/>
          <w:szCs w:val="24"/>
          <w:lang w:val="en-GB"/>
        </w:rPr>
        <w:t xml:space="preserve">area at the supply chain level can </w:t>
      </w:r>
      <w:r w:rsidR="00D6279A">
        <w:rPr>
          <w:rFonts w:ascii="Times New Roman" w:eastAsia="Calibri" w:hAnsi="Times New Roman" w:cs="Times New Roman"/>
          <w:sz w:val="24"/>
          <w:szCs w:val="24"/>
          <w:lang w:val="en-GB"/>
        </w:rPr>
        <w:t xml:space="preserve">explain </w:t>
      </w:r>
      <w:r w:rsidR="00BE31FA">
        <w:rPr>
          <w:rFonts w:ascii="Times New Roman" w:eastAsia="Calibri" w:hAnsi="Times New Roman" w:cs="Times New Roman"/>
          <w:sz w:val="24"/>
          <w:szCs w:val="24"/>
          <w:lang w:val="en-GB"/>
        </w:rPr>
        <w:t xml:space="preserve">this, </w:t>
      </w:r>
      <w:r w:rsidR="00D6279A">
        <w:rPr>
          <w:rFonts w:ascii="Times New Roman" w:eastAsia="Calibri" w:hAnsi="Times New Roman" w:cs="Times New Roman"/>
          <w:sz w:val="24"/>
          <w:szCs w:val="24"/>
          <w:lang w:val="en-GB"/>
        </w:rPr>
        <w:t xml:space="preserve">and also </w:t>
      </w:r>
      <w:r w:rsidR="00BE31FA">
        <w:rPr>
          <w:rFonts w:ascii="Times New Roman" w:eastAsia="Calibri" w:hAnsi="Times New Roman" w:cs="Times New Roman"/>
          <w:sz w:val="24"/>
          <w:szCs w:val="24"/>
          <w:lang w:val="en-GB"/>
        </w:rPr>
        <w:t>why it does not also happen in the social compliance area of health and safety</w:t>
      </w:r>
      <w:r w:rsidR="00AE3300">
        <w:rPr>
          <w:rFonts w:ascii="Times New Roman" w:eastAsia="Calibri" w:hAnsi="Times New Roman" w:cs="Times New Roman"/>
          <w:sz w:val="24"/>
          <w:szCs w:val="24"/>
          <w:lang w:val="en-GB"/>
        </w:rPr>
        <w:t>,</w:t>
      </w:r>
      <w:r w:rsidR="00893AFA">
        <w:rPr>
          <w:rFonts w:ascii="Times New Roman" w:eastAsia="Calibri" w:hAnsi="Times New Roman" w:cs="Times New Roman"/>
          <w:sz w:val="24"/>
          <w:szCs w:val="24"/>
          <w:lang w:val="en-GB"/>
        </w:rPr>
        <w:t xml:space="preserve"> despite publicly available records of work-related accidents and death</w:t>
      </w:r>
      <w:r w:rsidR="00BE31FA">
        <w:rPr>
          <w:rFonts w:ascii="Times New Roman" w:eastAsia="Calibri" w:hAnsi="Times New Roman" w:cs="Times New Roman"/>
          <w:sz w:val="24"/>
          <w:szCs w:val="24"/>
          <w:lang w:val="en-GB"/>
        </w:rPr>
        <w:t xml:space="preserve">. </w:t>
      </w:r>
      <w:r w:rsidR="00D6279A">
        <w:rPr>
          <w:rFonts w:ascii="Times New Roman" w:eastAsia="Calibri" w:hAnsi="Times New Roman" w:cs="Times New Roman"/>
          <w:sz w:val="24"/>
          <w:szCs w:val="24"/>
          <w:lang w:val="en-GB"/>
        </w:rPr>
        <w:t xml:space="preserve">This could </w:t>
      </w:r>
      <w:r w:rsidR="00076E00">
        <w:rPr>
          <w:rFonts w:ascii="Times New Roman" w:eastAsia="Calibri" w:hAnsi="Times New Roman" w:cs="Times New Roman"/>
          <w:sz w:val="24"/>
          <w:szCs w:val="24"/>
          <w:lang w:val="en-GB"/>
        </w:rPr>
        <w:t xml:space="preserve">also </w:t>
      </w:r>
      <w:r w:rsidR="00D6279A">
        <w:rPr>
          <w:rFonts w:ascii="Times New Roman" w:eastAsia="Calibri" w:hAnsi="Times New Roman" w:cs="Times New Roman"/>
          <w:sz w:val="24"/>
          <w:szCs w:val="24"/>
          <w:lang w:val="en-GB"/>
        </w:rPr>
        <w:t xml:space="preserve">help explain why </w:t>
      </w:r>
      <w:r w:rsidR="00BB35EF" w:rsidRPr="00BB35EF">
        <w:rPr>
          <w:rFonts w:ascii="Times New Roman" w:eastAsia="Calibri" w:hAnsi="Times New Roman" w:cs="Times New Roman"/>
          <w:sz w:val="24"/>
          <w:szCs w:val="24"/>
          <w:lang w:val="en-GB"/>
        </w:rPr>
        <w:t xml:space="preserve">social issues </w:t>
      </w:r>
      <w:r w:rsidR="00BB35EF">
        <w:rPr>
          <w:rFonts w:ascii="Times New Roman" w:eastAsia="Calibri" w:hAnsi="Times New Roman" w:cs="Times New Roman"/>
          <w:sz w:val="24"/>
          <w:szCs w:val="24"/>
          <w:lang w:val="en-GB"/>
        </w:rPr>
        <w:t xml:space="preserve">have </w:t>
      </w:r>
      <w:r w:rsidR="00BB35EF" w:rsidRPr="00BB35EF">
        <w:rPr>
          <w:rFonts w:ascii="Times New Roman" w:eastAsia="Calibri" w:hAnsi="Times New Roman" w:cs="Times New Roman"/>
          <w:sz w:val="24"/>
          <w:szCs w:val="24"/>
          <w:lang w:val="en-GB"/>
        </w:rPr>
        <w:t>receive</w:t>
      </w:r>
      <w:r w:rsidR="00BB35EF">
        <w:rPr>
          <w:rFonts w:ascii="Times New Roman" w:eastAsia="Calibri" w:hAnsi="Times New Roman" w:cs="Times New Roman"/>
          <w:sz w:val="24"/>
          <w:szCs w:val="24"/>
          <w:lang w:val="en-GB"/>
        </w:rPr>
        <w:t>d</w:t>
      </w:r>
      <w:r w:rsidR="00BB35EF" w:rsidRPr="00BB35EF">
        <w:rPr>
          <w:rFonts w:ascii="Times New Roman" w:eastAsia="Calibri" w:hAnsi="Times New Roman" w:cs="Times New Roman"/>
          <w:sz w:val="24"/>
          <w:szCs w:val="24"/>
          <w:lang w:val="en-GB"/>
        </w:rPr>
        <w:t xml:space="preserve"> less attention</w:t>
      </w:r>
      <w:r w:rsidR="00017351">
        <w:rPr>
          <w:rFonts w:ascii="Times New Roman" w:eastAsia="Calibri" w:hAnsi="Times New Roman" w:cs="Times New Roman"/>
          <w:sz w:val="24"/>
          <w:szCs w:val="24"/>
          <w:lang w:val="en-GB"/>
        </w:rPr>
        <w:t xml:space="preserve"> in sustainability literature</w:t>
      </w:r>
      <w:r w:rsidR="004E2F36">
        <w:rPr>
          <w:rFonts w:ascii="Times New Roman" w:eastAsia="Calibri" w:hAnsi="Times New Roman" w:cs="Times New Roman"/>
          <w:sz w:val="24"/>
          <w:szCs w:val="24"/>
          <w:lang w:val="en-GB"/>
        </w:rPr>
        <w:t xml:space="preserve"> </w:t>
      </w:r>
      <w:r w:rsidR="00F3370E" w:rsidRPr="007A6E4B">
        <w:rPr>
          <w:rFonts w:ascii="Times New Roman" w:hAnsi="Times New Roman" w:cs="Times New Roman"/>
          <w:sz w:val="24"/>
          <w:lang w:val="en-US"/>
        </w:rPr>
        <w:t>(</w:t>
      </w:r>
      <w:proofErr w:type="spellStart"/>
      <w:r w:rsidR="00F3370E" w:rsidRPr="007A6E4B">
        <w:rPr>
          <w:rFonts w:ascii="Times New Roman" w:hAnsi="Times New Roman" w:cs="Times New Roman"/>
          <w:sz w:val="24"/>
          <w:lang w:val="en-US"/>
        </w:rPr>
        <w:t>Meynhardt</w:t>
      </w:r>
      <w:proofErr w:type="spellEnd"/>
      <w:r w:rsidR="00F3370E" w:rsidRPr="007A6E4B">
        <w:rPr>
          <w:rFonts w:ascii="Times New Roman" w:hAnsi="Times New Roman" w:cs="Times New Roman"/>
          <w:sz w:val="24"/>
          <w:lang w:val="en-US"/>
        </w:rPr>
        <w:t xml:space="preserve"> and Gomez, 2019; </w:t>
      </w:r>
      <w:proofErr w:type="spellStart"/>
      <w:r w:rsidR="00F3370E" w:rsidRPr="007A6E4B">
        <w:rPr>
          <w:rFonts w:ascii="Times New Roman" w:hAnsi="Times New Roman" w:cs="Times New Roman"/>
          <w:sz w:val="24"/>
          <w:lang w:val="en-US"/>
        </w:rPr>
        <w:t>Yawar</w:t>
      </w:r>
      <w:proofErr w:type="spellEnd"/>
      <w:r w:rsidR="00F3370E" w:rsidRPr="007A6E4B">
        <w:rPr>
          <w:rFonts w:ascii="Times New Roman" w:hAnsi="Times New Roman" w:cs="Times New Roman"/>
          <w:sz w:val="24"/>
          <w:lang w:val="en-US"/>
        </w:rPr>
        <w:t xml:space="preserve"> and </w:t>
      </w:r>
      <w:proofErr w:type="spellStart"/>
      <w:r w:rsidR="00F3370E" w:rsidRPr="007A6E4B">
        <w:rPr>
          <w:rFonts w:ascii="Times New Roman" w:hAnsi="Times New Roman" w:cs="Times New Roman"/>
          <w:sz w:val="24"/>
          <w:lang w:val="en-US"/>
        </w:rPr>
        <w:t>Seuring</w:t>
      </w:r>
      <w:proofErr w:type="spellEnd"/>
      <w:r w:rsidR="00F3370E" w:rsidRPr="007A6E4B">
        <w:rPr>
          <w:rFonts w:ascii="Times New Roman" w:hAnsi="Times New Roman" w:cs="Times New Roman"/>
          <w:sz w:val="24"/>
          <w:lang w:val="en-US"/>
        </w:rPr>
        <w:t>, 2017)</w:t>
      </w:r>
      <w:r w:rsidR="00947DD6">
        <w:rPr>
          <w:rFonts w:ascii="Times New Roman" w:eastAsia="Calibri" w:hAnsi="Times New Roman" w:cs="Times New Roman"/>
          <w:sz w:val="24"/>
          <w:szCs w:val="24"/>
          <w:lang w:val="en-GB"/>
        </w:rPr>
        <w:t xml:space="preserve">. </w:t>
      </w:r>
    </w:p>
    <w:p w14:paraId="3CBEE570" w14:textId="77777777" w:rsidR="004E2F36" w:rsidRDefault="004E2F36" w:rsidP="004270F7">
      <w:pPr>
        <w:spacing w:line="480" w:lineRule="auto"/>
        <w:jc w:val="both"/>
        <w:rPr>
          <w:rFonts w:ascii="Times New Roman" w:eastAsia="Calibri" w:hAnsi="Times New Roman" w:cs="Times New Roman"/>
          <w:sz w:val="24"/>
          <w:szCs w:val="24"/>
          <w:lang w:val="en-GB"/>
        </w:rPr>
      </w:pPr>
    </w:p>
    <w:p w14:paraId="7030F3BE" w14:textId="44CABA5D" w:rsidR="00744A91" w:rsidRPr="0078687F" w:rsidRDefault="00744A91" w:rsidP="00744A91">
      <w:pPr>
        <w:spacing w:line="480" w:lineRule="auto"/>
        <w:jc w:val="both"/>
        <w:rPr>
          <w:rFonts w:ascii="Times New Roman" w:eastAsia="Calibri" w:hAnsi="Times New Roman" w:cs="Times New Roman"/>
          <w:b/>
          <w:sz w:val="24"/>
          <w:szCs w:val="26"/>
          <w:lang w:val="en-GB"/>
        </w:rPr>
      </w:pPr>
      <w:r>
        <w:rPr>
          <w:rFonts w:ascii="Times New Roman" w:eastAsia="Calibri" w:hAnsi="Times New Roman" w:cs="Times New Roman"/>
          <w:b/>
          <w:sz w:val="24"/>
          <w:szCs w:val="26"/>
          <w:lang w:val="en-GB"/>
        </w:rPr>
        <w:t>6</w:t>
      </w:r>
      <w:r w:rsidRPr="0078687F">
        <w:rPr>
          <w:rFonts w:ascii="Times New Roman" w:eastAsia="Calibri" w:hAnsi="Times New Roman" w:cs="Times New Roman"/>
          <w:b/>
          <w:sz w:val="24"/>
          <w:szCs w:val="26"/>
          <w:lang w:val="en-GB"/>
        </w:rPr>
        <w:t xml:space="preserve">. </w:t>
      </w:r>
      <w:r>
        <w:rPr>
          <w:rFonts w:ascii="Times New Roman" w:eastAsia="Calibri" w:hAnsi="Times New Roman" w:cs="Times New Roman"/>
          <w:b/>
          <w:sz w:val="24"/>
          <w:szCs w:val="26"/>
          <w:lang w:val="en-GB"/>
        </w:rPr>
        <w:t>Conclusions</w:t>
      </w:r>
    </w:p>
    <w:p w14:paraId="7000F6A1" w14:textId="79F982DD" w:rsidR="00744A91" w:rsidRPr="00873B4D" w:rsidRDefault="00744A91" w:rsidP="00744A91">
      <w:pPr>
        <w:spacing w:line="480" w:lineRule="auto"/>
        <w:jc w:val="both"/>
        <w:rPr>
          <w:rFonts w:ascii="Times New Roman" w:eastAsia="Calibri" w:hAnsi="Times New Roman" w:cs="Times New Roman"/>
          <w:sz w:val="24"/>
          <w:szCs w:val="24"/>
          <w:lang w:val="en-GB"/>
        </w:rPr>
      </w:pPr>
      <w:r w:rsidRPr="00873B4D">
        <w:rPr>
          <w:rFonts w:ascii="Times New Roman" w:eastAsia="Calibri" w:hAnsi="Times New Roman" w:cs="Times New Roman"/>
          <w:sz w:val="24"/>
          <w:szCs w:val="24"/>
          <w:lang w:val="en-GB"/>
        </w:rPr>
        <w:t xml:space="preserve">In this study, we </w:t>
      </w:r>
      <w:r>
        <w:rPr>
          <w:rFonts w:ascii="Times New Roman" w:eastAsia="Calibri" w:hAnsi="Times New Roman" w:cs="Times New Roman"/>
          <w:sz w:val="24"/>
          <w:szCs w:val="24"/>
          <w:lang w:val="en-GB"/>
        </w:rPr>
        <w:t>tackled</w:t>
      </w:r>
      <w:r w:rsidRPr="00873B4D">
        <w:rPr>
          <w:rFonts w:ascii="Times New Roman" w:eastAsia="Calibri" w:hAnsi="Times New Roman" w:cs="Times New Roman"/>
          <w:sz w:val="24"/>
          <w:szCs w:val="24"/>
          <w:lang w:val="en-GB"/>
        </w:rPr>
        <w:t xml:space="preserve"> the </w:t>
      </w:r>
      <w:r>
        <w:rPr>
          <w:rFonts w:ascii="Times New Roman" w:eastAsia="Calibri" w:hAnsi="Times New Roman" w:cs="Times New Roman"/>
          <w:sz w:val="24"/>
          <w:szCs w:val="24"/>
          <w:lang w:val="en-GB"/>
        </w:rPr>
        <w:t xml:space="preserve">relationship between environmental and social </w:t>
      </w:r>
      <w:r w:rsidRPr="00873B4D">
        <w:rPr>
          <w:rFonts w:ascii="Times New Roman" w:eastAsia="Calibri" w:hAnsi="Times New Roman" w:cs="Times New Roman"/>
          <w:sz w:val="24"/>
          <w:szCs w:val="24"/>
          <w:lang w:val="en-GB"/>
        </w:rPr>
        <w:t xml:space="preserve">sustainability asymmetries </w:t>
      </w:r>
      <w:r>
        <w:rPr>
          <w:rFonts w:ascii="Times New Roman" w:eastAsia="Calibri" w:hAnsi="Times New Roman" w:cs="Times New Roman"/>
          <w:sz w:val="24"/>
          <w:szCs w:val="24"/>
          <w:lang w:val="en-GB"/>
        </w:rPr>
        <w:t xml:space="preserve">and the financial and market </w:t>
      </w:r>
      <w:r w:rsidRPr="00873B4D">
        <w:rPr>
          <w:rFonts w:ascii="Times New Roman" w:eastAsia="Calibri" w:hAnsi="Times New Roman" w:cs="Times New Roman"/>
          <w:sz w:val="24"/>
          <w:szCs w:val="24"/>
          <w:lang w:val="en-GB"/>
        </w:rPr>
        <w:t>performance. Our research demonstrate</w:t>
      </w:r>
      <w:r>
        <w:rPr>
          <w:rFonts w:ascii="Times New Roman" w:eastAsia="Calibri" w:hAnsi="Times New Roman" w:cs="Times New Roman"/>
          <w:sz w:val="24"/>
          <w:szCs w:val="24"/>
          <w:lang w:val="en-GB"/>
        </w:rPr>
        <w:t>d</w:t>
      </w:r>
      <w:r w:rsidRPr="00873B4D">
        <w:rPr>
          <w:rFonts w:ascii="Times New Roman" w:eastAsia="Calibri" w:hAnsi="Times New Roman" w:cs="Times New Roman"/>
          <w:sz w:val="24"/>
          <w:szCs w:val="24"/>
          <w:lang w:val="en-GB"/>
        </w:rPr>
        <w:t xml:space="preserve"> that </w:t>
      </w:r>
      <w:r w:rsidR="00D16197">
        <w:rPr>
          <w:rFonts w:ascii="Times New Roman" w:eastAsia="Calibri" w:hAnsi="Times New Roman" w:cs="Times New Roman"/>
          <w:sz w:val="24"/>
          <w:szCs w:val="24"/>
          <w:lang w:val="en-GB"/>
        </w:rPr>
        <w:t xml:space="preserve">whereas environmental asymmetries have a significant impact on firm performance, social asymmetries do not. Also, results show that such impact will depend on which party is leading the sustainability initiatives (i.e. buyer or supplier). </w:t>
      </w:r>
      <w:r w:rsidR="00236FF5">
        <w:rPr>
          <w:rFonts w:ascii="Times New Roman" w:eastAsia="Calibri" w:hAnsi="Times New Roman" w:cs="Times New Roman"/>
          <w:sz w:val="24"/>
          <w:szCs w:val="24"/>
          <w:lang w:val="en-GB"/>
        </w:rPr>
        <w:t xml:space="preserve">Finally, results suggest that </w:t>
      </w:r>
      <w:r w:rsidR="00D16197">
        <w:rPr>
          <w:rFonts w:ascii="Times New Roman" w:eastAsia="Calibri" w:hAnsi="Times New Roman" w:cs="Times New Roman"/>
          <w:sz w:val="24"/>
          <w:szCs w:val="24"/>
          <w:lang w:val="en-GB"/>
        </w:rPr>
        <w:t>effects also depend the type of initiative</w:t>
      </w:r>
      <w:r w:rsidR="00236FF5">
        <w:rPr>
          <w:rFonts w:ascii="Times New Roman" w:eastAsia="Calibri" w:hAnsi="Times New Roman" w:cs="Times New Roman"/>
          <w:sz w:val="24"/>
          <w:szCs w:val="24"/>
          <w:lang w:val="en-GB"/>
        </w:rPr>
        <w:t xml:space="preserve">, </w:t>
      </w:r>
      <w:r w:rsidR="009B4C1D">
        <w:rPr>
          <w:rFonts w:ascii="Times New Roman" w:eastAsia="Calibri" w:hAnsi="Times New Roman" w:cs="Times New Roman"/>
          <w:sz w:val="24"/>
          <w:szCs w:val="24"/>
          <w:lang w:val="en-GB"/>
        </w:rPr>
        <w:t xml:space="preserve">with </w:t>
      </w:r>
      <w:r>
        <w:rPr>
          <w:rFonts w:ascii="Times New Roman" w:eastAsia="Calibri" w:hAnsi="Times New Roman" w:cs="Times New Roman"/>
          <w:sz w:val="24"/>
          <w:szCs w:val="24"/>
          <w:lang w:val="en-GB"/>
        </w:rPr>
        <w:t xml:space="preserve">emission reduction being the only area of sustainability where </w:t>
      </w:r>
      <w:r w:rsidR="00D16197">
        <w:rPr>
          <w:rFonts w:ascii="Times New Roman" w:eastAsia="Calibri" w:hAnsi="Times New Roman" w:cs="Times New Roman"/>
          <w:sz w:val="24"/>
          <w:szCs w:val="24"/>
          <w:lang w:val="en-GB"/>
        </w:rPr>
        <w:t xml:space="preserve">asymmetries affect negatively firm performance from </w:t>
      </w:r>
      <w:r w:rsidR="00236FF5">
        <w:rPr>
          <w:rFonts w:ascii="Times New Roman" w:eastAsia="Calibri" w:hAnsi="Times New Roman" w:cs="Times New Roman"/>
          <w:sz w:val="24"/>
          <w:szCs w:val="24"/>
          <w:lang w:val="en-GB"/>
        </w:rPr>
        <w:t xml:space="preserve">both </w:t>
      </w:r>
      <w:r w:rsidR="00D16197">
        <w:rPr>
          <w:rFonts w:ascii="Times New Roman" w:eastAsia="Calibri" w:hAnsi="Times New Roman" w:cs="Times New Roman"/>
          <w:sz w:val="24"/>
          <w:szCs w:val="24"/>
          <w:lang w:val="en-GB"/>
        </w:rPr>
        <w:t>customers and investors perspective.</w:t>
      </w:r>
      <w:r w:rsidRPr="00873B4D">
        <w:rPr>
          <w:rFonts w:ascii="Times New Roman" w:eastAsia="Calibri" w:hAnsi="Times New Roman" w:cs="Times New Roman"/>
          <w:sz w:val="24"/>
          <w:szCs w:val="24"/>
          <w:lang w:val="en-GB"/>
        </w:rPr>
        <w:t xml:space="preserve"> </w:t>
      </w:r>
      <w:r w:rsidR="00236FF5">
        <w:rPr>
          <w:rFonts w:ascii="Times New Roman" w:eastAsia="Calibri" w:hAnsi="Times New Roman" w:cs="Times New Roman"/>
          <w:sz w:val="24"/>
          <w:szCs w:val="24"/>
          <w:lang w:val="en-GB"/>
        </w:rPr>
        <w:t>An intriguing result is that, contrary to previous studies assumptions, asymmetries in the resource reduction area have a positive effect on buyer profitability.</w:t>
      </w:r>
    </w:p>
    <w:p w14:paraId="4D639E4F" w14:textId="6817A409" w:rsidR="000B65D3" w:rsidRDefault="00744A91" w:rsidP="00744A91">
      <w:pPr>
        <w:spacing w:line="480" w:lineRule="auto"/>
        <w:jc w:val="both"/>
        <w:rPr>
          <w:rFonts w:ascii="Times New Roman" w:eastAsia="Calibri" w:hAnsi="Times New Roman" w:cs="Times New Roman"/>
          <w:sz w:val="24"/>
          <w:szCs w:val="24"/>
          <w:lang w:val="en-GB"/>
        </w:rPr>
      </w:pPr>
      <w:r w:rsidRPr="00873B4D">
        <w:rPr>
          <w:rFonts w:ascii="Times New Roman" w:eastAsia="Calibri" w:hAnsi="Times New Roman" w:cs="Times New Roman"/>
          <w:sz w:val="24"/>
          <w:szCs w:val="24"/>
          <w:lang w:val="en-GB"/>
        </w:rPr>
        <w:t>From a theoretical standpoint,</w:t>
      </w:r>
      <w:r>
        <w:rPr>
          <w:rFonts w:ascii="Times New Roman" w:eastAsia="Calibri" w:hAnsi="Times New Roman" w:cs="Times New Roman"/>
          <w:sz w:val="24"/>
          <w:szCs w:val="24"/>
          <w:lang w:val="en-GB"/>
        </w:rPr>
        <w:t xml:space="preserve"> </w:t>
      </w:r>
      <w:r w:rsidRPr="00873B4D">
        <w:rPr>
          <w:rFonts w:ascii="Times New Roman" w:eastAsia="Calibri" w:hAnsi="Times New Roman" w:cs="Times New Roman"/>
          <w:sz w:val="24"/>
          <w:szCs w:val="24"/>
          <w:lang w:val="en-GB"/>
        </w:rPr>
        <w:t xml:space="preserve">our study has shown that concepts such </w:t>
      </w:r>
      <w:r>
        <w:rPr>
          <w:rFonts w:ascii="Times New Roman" w:eastAsia="Calibri" w:hAnsi="Times New Roman" w:cs="Times New Roman"/>
          <w:sz w:val="24"/>
          <w:szCs w:val="24"/>
          <w:lang w:val="en-GB"/>
        </w:rPr>
        <w:t xml:space="preserve">as </w:t>
      </w:r>
      <w:r w:rsidRPr="00873B4D">
        <w:rPr>
          <w:rFonts w:ascii="Times New Roman" w:eastAsia="Calibri" w:hAnsi="Times New Roman" w:cs="Times New Roman"/>
          <w:sz w:val="24"/>
          <w:szCs w:val="24"/>
          <w:lang w:val="en-GB"/>
        </w:rPr>
        <w:t>legitimacy</w:t>
      </w:r>
      <w:r>
        <w:rPr>
          <w:rFonts w:ascii="Times New Roman" w:eastAsia="Calibri" w:hAnsi="Times New Roman" w:cs="Times New Roman"/>
          <w:sz w:val="24"/>
          <w:szCs w:val="24"/>
          <w:lang w:val="en-GB"/>
        </w:rPr>
        <w:t xml:space="preserve"> are</w:t>
      </w:r>
      <w:r w:rsidRPr="00873B4D">
        <w:rPr>
          <w:rFonts w:ascii="Times New Roman" w:eastAsia="Calibri" w:hAnsi="Times New Roman" w:cs="Times New Roman"/>
          <w:sz w:val="24"/>
          <w:szCs w:val="24"/>
          <w:lang w:val="en-GB"/>
        </w:rPr>
        <w:t xml:space="preserve"> key to understan</w:t>
      </w:r>
      <w:r>
        <w:rPr>
          <w:rFonts w:ascii="Times New Roman" w:eastAsia="Calibri" w:hAnsi="Times New Roman" w:cs="Times New Roman"/>
          <w:sz w:val="24"/>
          <w:szCs w:val="24"/>
          <w:lang w:val="en-GB"/>
        </w:rPr>
        <w:t>d</w:t>
      </w:r>
      <w:r w:rsidRPr="00873B4D">
        <w:rPr>
          <w:rFonts w:ascii="Times New Roman" w:eastAsia="Calibri" w:hAnsi="Times New Roman" w:cs="Times New Roman"/>
          <w:sz w:val="24"/>
          <w:szCs w:val="24"/>
          <w:lang w:val="en-GB"/>
        </w:rPr>
        <w:t xml:space="preserve"> the effect</w:t>
      </w:r>
      <w:r w:rsidR="00581EBA">
        <w:rPr>
          <w:rFonts w:ascii="Times New Roman" w:eastAsia="Calibri" w:hAnsi="Times New Roman" w:cs="Times New Roman"/>
          <w:sz w:val="24"/>
          <w:szCs w:val="24"/>
          <w:lang w:val="en-GB"/>
        </w:rPr>
        <w:t>s</w:t>
      </w:r>
      <w:r w:rsidRPr="00873B4D">
        <w:rPr>
          <w:rFonts w:ascii="Times New Roman" w:eastAsia="Calibri" w:hAnsi="Times New Roman" w:cs="Times New Roman"/>
          <w:sz w:val="24"/>
          <w:szCs w:val="24"/>
          <w:lang w:val="en-GB"/>
        </w:rPr>
        <w:t xml:space="preserve"> of sustainability asymmetries. </w:t>
      </w:r>
      <w:r w:rsidR="000B65D3">
        <w:rPr>
          <w:rFonts w:ascii="Times New Roman" w:eastAsia="Calibri" w:hAnsi="Times New Roman" w:cs="Times New Roman"/>
          <w:sz w:val="24"/>
          <w:szCs w:val="24"/>
          <w:lang w:val="en-GB"/>
        </w:rPr>
        <w:t xml:space="preserve">This confirms previous studies that argue that </w:t>
      </w:r>
      <w:r w:rsidR="000B65D3" w:rsidRPr="00873B4D">
        <w:rPr>
          <w:rFonts w:ascii="Times New Roman" w:hAnsi="Times New Roman" w:cs="Times New Roman"/>
          <w:sz w:val="24"/>
          <w:szCs w:val="24"/>
          <w:lang w:val="en-US"/>
        </w:rPr>
        <w:t xml:space="preserve">the deterioration </w:t>
      </w:r>
      <w:r w:rsidR="000B65D3">
        <w:rPr>
          <w:rFonts w:ascii="Times New Roman" w:hAnsi="Times New Roman" w:cs="Times New Roman"/>
          <w:sz w:val="24"/>
          <w:szCs w:val="24"/>
          <w:lang w:val="en-US"/>
        </w:rPr>
        <w:t xml:space="preserve">of </w:t>
      </w:r>
      <w:r w:rsidR="000B65D3" w:rsidRPr="00873B4D">
        <w:rPr>
          <w:rFonts w:ascii="Times New Roman" w:hAnsi="Times New Roman" w:cs="Times New Roman"/>
          <w:sz w:val="24"/>
          <w:szCs w:val="24"/>
          <w:lang w:val="en-US"/>
        </w:rPr>
        <w:t>legitimacy can lead to organizational failure</w:t>
      </w:r>
      <w:r w:rsidR="00835886">
        <w:rPr>
          <w:rFonts w:ascii="Times New Roman" w:hAnsi="Times New Roman" w:cs="Times New Roman"/>
          <w:sz w:val="24"/>
          <w:szCs w:val="24"/>
          <w:lang w:val="en-US"/>
        </w:rPr>
        <w:t xml:space="preserve"> (Suddaby et al., 2017)</w:t>
      </w:r>
      <w:r w:rsidR="000B65D3" w:rsidRPr="00873B4D">
        <w:rPr>
          <w:rFonts w:ascii="Times New Roman" w:hAnsi="Times New Roman" w:cs="Times New Roman"/>
          <w:sz w:val="24"/>
          <w:szCs w:val="24"/>
          <w:lang w:val="en-US"/>
        </w:rPr>
        <w:t>.</w:t>
      </w:r>
      <w:r w:rsidR="000B65D3">
        <w:rPr>
          <w:rFonts w:ascii="Times New Roman" w:hAnsi="Times New Roman" w:cs="Times New Roman"/>
          <w:sz w:val="24"/>
          <w:szCs w:val="24"/>
          <w:lang w:val="en-US"/>
        </w:rPr>
        <w:t xml:space="preserve"> </w:t>
      </w:r>
      <w:r w:rsidRPr="00AA5CBF">
        <w:rPr>
          <w:rFonts w:ascii="Times New Roman" w:eastAsia="Calibri" w:hAnsi="Times New Roman" w:cs="Times New Roman"/>
          <w:sz w:val="24"/>
          <w:szCs w:val="24"/>
          <w:lang w:val="en-GB"/>
        </w:rPr>
        <w:t xml:space="preserve">However, </w:t>
      </w:r>
      <w:r>
        <w:rPr>
          <w:rFonts w:ascii="Times New Roman" w:eastAsia="Calibri" w:hAnsi="Times New Roman" w:cs="Times New Roman"/>
          <w:sz w:val="24"/>
          <w:szCs w:val="24"/>
          <w:lang w:val="en-GB"/>
        </w:rPr>
        <w:t xml:space="preserve">it would be interesting to explore other frameworks that </w:t>
      </w:r>
      <w:r>
        <w:rPr>
          <w:rFonts w:ascii="Times New Roman" w:eastAsia="Calibri" w:hAnsi="Times New Roman" w:cs="Times New Roman"/>
          <w:sz w:val="24"/>
          <w:szCs w:val="24"/>
          <w:lang w:val="en-GB"/>
        </w:rPr>
        <w:lastRenderedPageBreak/>
        <w:t>could explain the effect of environmental and social asymmetries, such as dynamic capabilities, which has recently been applied to understanding sustainability implementation in supply chains</w:t>
      </w:r>
      <w:r w:rsidR="003A7FF4">
        <w:rPr>
          <w:rFonts w:ascii="Times New Roman" w:eastAsia="Calibri" w:hAnsi="Times New Roman" w:cs="Times New Roman"/>
          <w:sz w:val="24"/>
          <w:szCs w:val="24"/>
          <w:lang w:val="en-GB"/>
        </w:rPr>
        <w:t xml:space="preserve"> (</w:t>
      </w:r>
      <w:proofErr w:type="spellStart"/>
      <w:r w:rsidR="003A7FF4">
        <w:rPr>
          <w:rFonts w:ascii="Times New Roman" w:eastAsia="Calibri" w:hAnsi="Times New Roman" w:cs="Times New Roman"/>
          <w:sz w:val="24"/>
          <w:szCs w:val="24"/>
          <w:lang w:val="en-GB"/>
        </w:rPr>
        <w:t>Rauer</w:t>
      </w:r>
      <w:proofErr w:type="spellEnd"/>
      <w:r w:rsidR="003A7FF4">
        <w:rPr>
          <w:rFonts w:ascii="Times New Roman" w:eastAsia="Calibri" w:hAnsi="Times New Roman" w:cs="Times New Roman"/>
          <w:sz w:val="24"/>
          <w:szCs w:val="24"/>
          <w:lang w:val="en-GB"/>
        </w:rPr>
        <w:t xml:space="preserve"> and Kaufmann, 2015)</w:t>
      </w:r>
      <w:r w:rsidR="003C5553">
        <w:rPr>
          <w:rFonts w:ascii="Times New Roman" w:eastAsia="Calibri" w:hAnsi="Times New Roman" w:cs="Times New Roman"/>
          <w:sz w:val="24"/>
          <w:szCs w:val="24"/>
          <w:lang w:val="en-GB"/>
        </w:rPr>
        <w:t>.</w:t>
      </w:r>
      <w:r w:rsidR="003A7FF4">
        <w:rPr>
          <w:rFonts w:ascii="Times New Roman" w:eastAsia="Calibri" w:hAnsi="Times New Roman" w:cs="Times New Roman"/>
          <w:sz w:val="24"/>
          <w:szCs w:val="24"/>
          <w:lang w:val="en-GB"/>
        </w:rPr>
        <w:t xml:space="preserve"> For example, </w:t>
      </w:r>
      <w:r w:rsidR="003A7FF4">
        <w:rPr>
          <w:rFonts w:ascii="Times New Roman" w:eastAsia="Calibri" w:hAnsi="Times New Roman" w:cs="Times New Roman"/>
          <w:sz w:val="24"/>
          <w:szCs w:val="24"/>
          <w:lang w:val="en-GB"/>
        </w:rPr>
        <w:t>researchers should</w:t>
      </w:r>
      <w:r w:rsidR="003A7FF4">
        <w:rPr>
          <w:rFonts w:ascii="Times New Roman" w:eastAsia="Calibri" w:hAnsi="Times New Roman" w:cs="Times New Roman"/>
          <w:sz w:val="24"/>
          <w:szCs w:val="24"/>
          <w:lang w:val="en-GB"/>
        </w:rPr>
        <w:t xml:space="preserve"> verify </w:t>
      </w:r>
      <w:r w:rsidR="003A7FF4">
        <w:rPr>
          <w:rFonts w:ascii="Times New Roman" w:eastAsia="Calibri" w:hAnsi="Times New Roman" w:cs="Times New Roman"/>
          <w:sz w:val="24"/>
          <w:szCs w:val="24"/>
          <w:lang w:val="en-GB"/>
        </w:rPr>
        <w:t>to what extent and how</w:t>
      </w:r>
      <w:r w:rsidR="003A7FF4">
        <w:rPr>
          <w:rFonts w:ascii="Times New Roman" w:eastAsia="Calibri" w:hAnsi="Times New Roman" w:cs="Times New Roman"/>
          <w:sz w:val="24"/>
          <w:szCs w:val="24"/>
          <w:lang w:val="en-GB"/>
        </w:rPr>
        <w:t xml:space="preserve"> SSCM-related</w:t>
      </w:r>
      <w:r w:rsidR="003A7FF4">
        <w:rPr>
          <w:rFonts w:ascii="Times New Roman" w:eastAsia="Calibri" w:hAnsi="Times New Roman" w:cs="Times New Roman"/>
          <w:sz w:val="24"/>
          <w:szCs w:val="24"/>
          <w:lang w:val="en-GB"/>
        </w:rPr>
        <w:t xml:space="preserve"> dynamic capabi</w:t>
      </w:r>
      <w:r w:rsidR="003A7FF4">
        <w:rPr>
          <w:rFonts w:ascii="Times New Roman" w:eastAsia="Calibri" w:hAnsi="Times New Roman" w:cs="Times New Roman"/>
          <w:sz w:val="24"/>
          <w:szCs w:val="24"/>
          <w:lang w:val="en-GB"/>
        </w:rPr>
        <w:t>lities could help firms mitigate the negative consequences of sustainability asymmetries.</w:t>
      </w:r>
      <w:r w:rsidR="003C5553">
        <w:rPr>
          <w:rFonts w:ascii="Times New Roman" w:eastAsia="Calibri" w:hAnsi="Times New Roman" w:cs="Times New Roman"/>
          <w:sz w:val="24"/>
          <w:szCs w:val="24"/>
          <w:lang w:val="en-GB"/>
        </w:rPr>
        <w:t xml:space="preserve"> Also, </w:t>
      </w:r>
      <w:r w:rsidR="000535AF">
        <w:rPr>
          <w:rFonts w:ascii="Times New Roman" w:eastAsia="Calibri" w:hAnsi="Times New Roman" w:cs="Times New Roman"/>
          <w:sz w:val="24"/>
          <w:szCs w:val="24"/>
          <w:lang w:val="en-GB"/>
        </w:rPr>
        <w:t>the</w:t>
      </w:r>
      <w:r w:rsidR="000535AF" w:rsidRPr="000535AF">
        <w:rPr>
          <w:rFonts w:ascii="Times New Roman" w:eastAsia="Calibri" w:hAnsi="Times New Roman" w:cs="Times New Roman"/>
          <w:sz w:val="24"/>
          <w:szCs w:val="24"/>
          <w:lang w:val="en-GB"/>
        </w:rPr>
        <w:t xml:space="preserve"> different </w:t>
      </w:r>
      <w:r w:rsidR="003C5553">
        <w:rPr>
          <w:rFonts w:ascii="Times New Roman" w:eastAsia="Calibri" w:hAnsi="Times New Roman" w:cs="Times New Roman"/>
          <w:sz w:val="24"/>
          <w:szCs w:val="24"/>
          <w:lang w:val="en-GB"/>
        </w:rPr>
        <w:t>impacts</w:t>
      </w:r>
      <w:r w:rsidR="000535AF" w:rsidRPr="000535AF">
        <w:rPr>
          <w:rFonts w:ascii="Times New Roman" w:eastAsia="Calibri" w:hAnsi="Times New Roman" w:cs="Times New Roman"/>
          <w:sz w:val="24"/>
          <w:szCs w:val="24"/>
          <w:lang w:val="en-GB"/>
        </w:rPr>
        <w:t xml:space="preserve"> </w:t>
      </w:r>
      <w:r w:rsidR="003C5553">
        <w:rPr>
          <w:rFonts w:ascii="Times New Roman" w:eastAsia="Calibri" w:hAnsi="Times New Roman" w:cs="Times New Roman"/>
          <w:sz w:val="24"/>
          <w:szCs w:val="24"/>
          <w:lang w:val="en-GB"/>
        </w:rPr>
        <w:t xml:space="preserve">of environmental and social sustainability asymmetries on </w:t>
      </w:r>
      <w:r w:rsidR="000535AF" w:rsidRPr="000535AF">
        <w:rPr>
          <w:rFonts w:ascii="Times New Roman" w:eastAsia="Calibri" w:hAnsi="Times New Roman" w:cs="Times New Roman"/>
          <w:sz w:val="24"/>
          <w:szCs w:val="24"/>
          <w:lang w:val="en-GB"/>
        </w:rPr>
        <w:t>performance</w:t>
      </w:r>
      <w:r w:rsidR="003C5553">
        <w:rPr>
          <w:rFonts w:ascii="Times New Roman" w:eastAsia="Calibri" w:hAnsi="Times New Roman" w:cs="Times New Roman"/>
          <w:sz w:val="24"/>
          <w:szCs w:val="24"/>
          <w:lang w:val="en-GB"/>
        </w:rPr>
        <w:t xml:space="preserve"> highlight the </w:t>
      </w:r>
      <w:r w:rsidR="007D7996">
        <w:rPr>
          <w:rFonts w:ascii="Times New Roman" w:eastAsia="Calibri" w:hAnsi="Times New Roman" w:cs="Times New Roman"/>
          <w:sz w:val="24"/>
          <w:szCs w:val="24"/>
          <w:lang w:val="en-GB"/>
        </w:rPr>
        <w:t>importance</w:t>
      </w:r>
      <w:r w:rsidR="003C5553">
        <w:rPr>
          <w:rFonts w:ascii="Times New Roman" w:eastAsia="Calibri" w:hAnsi="Times New Roman" w:cs="Times New Roman"/>
          <w:sz w:val="24"/>
          <w:szCs w:val="24"/>
          <w:lang w:val="en-GB"/>
        </w:rPr>
        <w:t xml:space="preserve"> </w:t>
      </w:r>
      <w:r w:rsidR="007D7996">
        <w:rPr>
          <w:rFonts w:ascii="Times New Roman" w:eastAsia="Calibri" w:hAnsi="Times New Roman" w:cs="Times New Roman"/>
          <w:sz w:val="24"/>
          <w:szCs w:val="24"/>
          <w:lang w:val="en-GB"/>
        </w:rPr>
        <w:t>of extending</w:t>
      </w:r>
      <w:r w:rsidR="000535AF" w:rsidRPr="000535AF">
        <w:rPr>
          <w:rFonts w:ascii="Times New Roman" w:eastAsia="Calibri" w:hAnsi="Times New Roman" w:cs="Times New Roman"/>
          <w:sz w:val="24"/>
          <w:szCs w:val="24"/>
          <w:lang w:val="en-GB"/>
        </w:rPr>
        <w:t xml:space="preserve"> </w:t>
      </w:r>
      <w:r w:rsidR="003C5553">
        <w:rPr>
          <w:rFonts w:ascii="Times New Roman" w:eastAsia="Calibri" w:hAnsi="Times New Roman" w:cs="Times New Roman"/>
          <w:sz w:val="24"/>
          <w:szCs w:val="24"/>
          <w:lang w:val="en-GB"/>
        </w:rPr>
        <w:t xml:space="preserve">the </w:t>
      </w:r>
      <w:r w:rsidR="007D7996">
        <w:rPr>
          <w:rFonts w:ascii="Times New Roman" w:eastAsia="Calibri" w:hAnsi="Times New Roman" w:cs="Times New Roman"/>
          <w:sz w:val="24"/>
          <w:szCs w:val="24"/>
          <w:lang w:val="en-GB"/>
        </w:rPr>
        <w:t xml:space="preserve">sustainability </w:t>
      </w:r>
      <w:r w:rsidR="003C5553">
        <w:rPr>
          <w:rFonts w:ascii="Times New Roman" w:eastAsia="Calibri" w:hAnsi="Times New Roman" w:cs="Times New Roman"/>
          <w:sz w:val="24"/>
          <w:szCs w:val="24"/>
          <w:lang w:val="en-GB"/>
        </w:rPr>
        <w:t xml:space="preserve">analysis beyond the boundaries of the </w:t>
      </w:r>
      <w:r w:rsidR="007D7996">
        <w:rPr>
          <w:rFonts w:ascii="Times New Roman" w:eastAsia="Calibri" w:hAnsi="Times New Roman" w:cs="Times New Roman"/>
          <w:sz w:val="24"/>
          <w:szCs w:val="24"/>
          <w:lang w:val="en-GB"/>
        </w:rPr>
        <w:t xml:space="preserve">own </w:t>
      </w:r>
      <w:r w:rsidR="00293B8A">
        <w:rPr>
          <w:rFonts w:ascii="Times New Roman" w:eastAsia="Calibri" w:hAnsi="Times New Roman" w:cs="Times New Roman"/>
          <w:sz w:val="24"/>
          <w:szCs w:val="24"/>
          <w:lang w:val="en-GB"/>
        </w:rPr>
        <w:t>company</w:t>
      </w:r>
      <w:r w:rsidR="00A722D8">
        <w:rPr>
          <w:rFonts w:ascii="Times New Roman" w:eastAsia="Calibri" w:hAnsi="Times New Roman" w:cs="Times New Roman"/>
          <w:sz w:val="24"/>
          <w:szCs w:val="24"/>
          <w:lang w:val="en-GB"/>
        </w:rPr>
        <w:t>. Future studies should continue disentangl</w:t>
      </w:r>
      <w:r w:rsidR="00D76F6E">
        <w:rPr>
          <w:rFonts w:ascii="Times New Roman" w:eastAsia="Calibri" w:hAnsi="Times New Roman" w:cs="Times New Roman"/>
          <w:sz w:val="24"/>
          <w:szCs w:val="24"/>
          <w:lang w:val="en-GB"/>
        </w:rPr>
        <w:t>ing</w:t>
      </w:r>
      <w:r w:rsidR="00A722D8">
        <w:rPr>
          <w:rFonts w:ascii="Times New Roman" w:eastAsia="Calibri" w:hAnsi="Times New Roman" w:cs="Times New Roman"/>
          <w:sz w:val="24"/>
          <w:szCs w:val="24"/>
          <w:lang w:val="en-GB"/>
        </w:rPr>
        <w:t xml:space="preserve"> the sustainability effects using a broader analytical perspective</w:t>
      </w:r>
      <w:r w:rsidR="00581EBA">
        <w:rPr>
          <w:rFonts w:ascii="Times New Roman" w:eastAsia="Calibri" w:hAnsi="Times New Roman" w:cs="Times New Roman"/>
          <w:sz w:val="24"/>
          <w:szCs w:val="24"/>
          <w:lang w:val="en-GB"/>
        </w:rPr>
        <w:t>.</w:t>
      </w:r>
    </w:p>
    <w:p w14:paraId="37D27E6C" w14:textId="6DE7D40A" w:rsidR="0013535D" w:rsidRDefault="0013535D" w:rsidP="00744A91">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study offers </w:t>
      </w:r>
      <w:r>
        <w:rPr>
          <w:rFonts w:ascii="Times New Roman" w:eastAsia="Calibri" w:hAnsi="Times New Roman" w:cs="Times New Roman"/>
          <w:sz w:val="24"/>
          <w:szCs w:val="24"/>
          <w:lang w:val="en-GB"/>
        </w:rPr>
        <w:t>some potential implications</w:t>
      </w:r>
      <w:r>
        <w:rPr>
          <w:rFonts w:ascii="Times New Roman" w:eastAsia="Calibri" w:hAnsi="Times New Roman" w:cs="Times New Roman"/>
          <w:sz w:val="24"/>
          <w:szCs w:val="24"/>
          <w:lang w:val="en-GB"/>
        </w:rPr>
        <w:t xml:space="preserve"> for policy-makers. </w:t>
      </w:r>
      <w:r>
        <w:rPr>
          <w:rFonts w:ascii="Times New Roman" w:eastAsia="Calibri" w:hAnsi="Times New Roman" w:cs="Times New Roman"/>
          <w:sz w:val="24"/>
          <w:szCs w:val="24"/>
          <w:lang w:val="en-GB"/>
        </w:rPr>
        <w:t xml:space="preserve">In particular, </w:t>
      </w:r>
      <w:r w:rsidR="00286D4B">
        <w:rPr>
          <w:rFonts w:ascii="Times New Roman" w:eastAsia="Calibri" w:hAnsi="Times New Roman" w:cs="Times New Roman"/>
          <w:sz w:val="24"/>
          <w:szCs w:val="24"/>
          <w:lang w:val="en-GB"/>
        </w:rPr>
        <w:t>with respect to the design of incentives for supply ch</w:t>
      </w:r>
      <w:r w:rsidR="00286D4B">
        <w:rPr>
          <w:rFonts w:ascii="Times New Roman" w:eastAsia="Calibri" w:hAnsi="Times New Roman" w:cs="Times New Roman"/>
          <w:sz w:val="24"/>
          <w:szCs w:val="24"/>
          <w:lang w:val="en-GB"/>
        </w:rPr>
        <w:t xml:space="preserve">ain sustainability. For example, results suggest </w:t>
      </w:r>
      <w:r w:rsidR="00D76F6E">
        <w:rPr>
          <w:rFonts w:ascii="Times New Roman" w:eastAsia="Calibri" w:hAnsi="Times New Roman" w:cs="Times New Roman"/>
          <w:sz w:val="24"/>
          <w:szCs w:val="24"/>
          <w:lang w:val="en-GB"/>
        </w:rPr>
        <w:t xml:space="preserve">that </w:t>
      </w:r>
      <w:r w:rsidR="00CC32FD" w:rsidRPr="00CC32FD">
        <w:rPr>
          <w:rFonts w:ascii="Times New Roman" w:eastAsia="Calibri" w:hAnsi="Times New Roman" w:cs="Times New Roman"/>
          <w:sz w:val="24"/>
          <w:szCs w:val="24"/>
          <w:lang w:val="en-GB"/>
        </w:rPr>
        <w:t>asymmetries in the resource reduction area have a positive effect on buyer profitability</w:t>
      </w:r>
      <w:r w:rsidR="00CC32FD">
        <w:rPr>
          <w:rFonts w:ascii="Times New Roman" w:eastAsia="Calibri" w:hAnsi="Times New Roman" w:cs="Times New Roman"/>
          <w:sz w:val="24"/>
          <w:szCs w:val="24"/>
          <w:lang w:val="en-GB"/>
        </w:rPr>
        <w:t xml:space="preserve">. </w:t>
      </w:r>
      <w:r w:rsidR="009719CE">
        <w:rPr>
          <w:rFonts w:ascii="Times New Roman" w:eastAsia="Calibri" w:hAnsi="Times New Roman" w:cs="Times New Roman"/>
          <w:sz w:val="24"/>
          <w:szCs w:val="24"/>
          <w:lang w:val="en-GB"/>
        </w:rPr>
        <w:t>Therefore, firms have a natural incentive to build asymmetric relationships in this dimension</w:t>
      </w:r>
      <w:r w:rsidR="009719CE">
        <w:rPr>
          <w:rFonts w:ascii="Times New Roman" w:eastAsia="Calibri" w:hAnsi="Times New Roman" w:cs="Times New Roman"/>
          <w:sz w:val="24"/>
          <w:szCs w:val="24"/>
          <w:lang w:val="en-GB"/>
        </w:rPr>
        <w:t>, which could be negative from a policy perspective</w:t>
      </w:r>
      <w:r w:rsidR="009719CE">
        <w:rPr>
          <w:rFonts w:ascii="Times New Roman" w:eastAsia="Calibri" w:hAnsi="Times New Roman" w:cs="Times New Roman"/>
          <w:sz w:val="24"/>
          <w:szCs w:val="24"/>
          <w:lang w:val="en-GB"/>
        </w:rPr>
        <w:t xml:space="preserve">. </w:t>
      </w:r>
      <w:r w:rsidR="00CC32FD">
        <w:rPr>
          <w:rFonts w:ascii="Times New Roman" w:eastAsia="Calibri" w:hAnsi="Times New Roman" w:cs="Times New Roman"/>
          <w:sz w:val="24"/>
          <w:szCs w:val="24"/>
          <w:lang w:val="en-GB"/>
        </w:rPr>
        <w:t xml:space="preserve">This </w:t>
      </w:r>
      <w:r w:rsidR="00286D4B">
        <w:rPr>
          <w:rFonts w:ascii="Times New Roman" w:eastAsia="Calibri" w:hAnsi="Times New Roman" w:cs="Times New Roman"/>
          <w:sz w:val="24"/>
          <w:szCs w:val="24"/>
          <w:lang w:val="en-GB"/>
        </w:rPr>
        <w:t xml:space="preserve">means that policy-makers should focus on </w:t>
      </w:r>
      <w:r w:rsidR="00CC32FD">
        <w:rPr>
          <w:rFonts w:ascii="Times New Roman" w:eastAsia="Calibri" w:hAnsi="Times New Roman" w:cs="Times New Roman"/>
          <w:sz w:val="24"/>
          <w:szCs w:val="24"/>
          <w:lang w:val="en-GB"/>
        </w:rPr>
        <w:t>this area wh</w:t>
      </w:r>
      <w:r w:rsidR="00CC32FD">
        <w:rPr>
          <w:rFonts w:ascii="Times New Roman" w:eastAsia="Calibri" w:hAnsi="Times New Roman" w:cs="Times New Roman"/>
          <w:sz w:val="24"/>
          <w:szCs w:val="24"/>
          <w:lang w:val="en-GB"/>
        </w:rPr>
        <w:t>en designing sustainability incentives</w:t>
      </w:r>
      <w:r w:rsidR="00CC32FD">
        <w:rPr>
          <w:rFonts w:ascii="Times New Roman" w:eastAsia="Calibri" w:hAnsi="Times New Roman" w:cs="Times New Roman"/>
          <w:sz w:val="24"/>
          <w:szCs w:val="24"/>
          <w:lang w:val="en-GB"/>
        </w:rPr>
        <w:t>, if they want to reduce sustainability asymmetries in supply chains</w:t>
      </w:r>
      <w:r w:rsidR="00286D4B" w:rsidRPr="00286D4B">
        <w:rPr>
          <w:rFonts w:ascii="Times New Roman" w:eastAsia="Calibri" w:hAnsi="Times New Roman" w:cs="Times New Roman"/>
          <w:sz w:val="24"/>
          <w:szCs w:val="24"/>
          <w:lang w:val="en-GB"/>
        </w:rPr>
        <w:t>.</w:t>
      </w:r>
    </w:p>
    <w:p w14:paraId="267D8633" w14:textId="2FFC8CFA" w:rsidR="00744A91" w:rsidRDefault="00744A91" w:rsidP="00744A91">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With respect </w:t>
      </w:r>
      <w:r w:rsidR="007B1211">
        <w:rPr>
          <w:rFonts w:ascii="Times New Roman" w:eastAsia="Calibri" w:hAnsi="Times New Roman" w:cs="Times New Roman"/>
          <w:sz w:val="24"/>
          <w:szCs w:val="24"/>
          <w:lang w:val="en-GB"/>
        </w:rPr>
        <w:t>to</w:t>
      </w:r>
      <w:r>
        <w:rPr>
          <w:rFonts w:ascii="Times New Roman" w:eastAsia="Calibri" w:hAnsi="Times New Roman" w:cs="Times New Roman"/>
          <w:sz w:val="24"/>
          <w:szCs w:val="24"/>
          <w:lang w:val="en-GB"/>
        </w:rPr>
        <w:t xml:space="preserve"> </w:t>
      </w:r>
      <w:r w:rsidR="007B1211">
        <w:rPr>
          <w:rFonts w:ascii="Times New Roman" w:eastAsia="Calibri" w:hAnsi="Times New Roman" w:cs="Times New Roman"/>
          <w:sz w:val="24"/>
          <w:szCs w:val="24"/>
          <w:lang w:val="en-GB"/>
        </w:rPr>
        <w:t xml:space="preserve">the </w:t>
      </w:r>
      <w:r>
        <w:rPr>
          <w:rFonts w:ascii="Times New Roman" w:eastAsia="Calibri" w:hAnsi="Times New Roman" w:cs="Times New Roman"/>
          <w:sz w:val="24"/>
          <w:szCs w:val="24"/>
          <w:lang w:val="en-GB"/>
        </w:rPr>
        <w:t>practitioners, we demystify th</w:t>
      </w:r>
      <w:r w:rsidR="007B1211">
        <w:rPr>
          <w:rFonts w:ascii="Times New Roman" w:eastAsia="Calibri" w:hAnsi="Times New Roman" w:cs="Times New Roman"/>
          <w:sz w:val="24"/>
          <w:szCs w:val="24"/>
          <w:lang w:val="en-GB"/>
        </w:rPr>
        <w:t>e</w:t>
      </w:r>
      <w:r>
        <w:rPr>
          <w:rFonts w:ascii="Times New Roman" w:eastAsia="Calibri" w:hAnsi="Times New Roman" w:cs="Times New Roman"/>
          <w:sz w:val="24"/>
          <w:szCs w:val="24"/>
          <w:lang w:val="en-GB"/>
        </w:rPr>
        <w:t xml:space="preserve"> </w:t>
      </w:r>
      <w:r w:rsidR="007B1211">
        <w:rPr>
          <w:rFonts w:ascii="Times New Roman" w:eastAsia="Calibri" w:hAnsi="Times New Roman" w:cs="Times New Roman"/>
          <w:sz w:val="24"/>
          <w:szCs w:val="24"/>
          <w:lang w:val="en-GB"/>
        </w:rPr>
        <w:t xml:space="preserve">assertion that having </w:t>
      </w:r>
      <w:r>
        <w:rPr>
          <w:rFonts w:ascii="Times New Roman" w:eastAsia="Calibri" w:hAnsi="Times New Roman" w:cs="Times New Roman"/>
          <w:sz w:val="24"/>
          <w:szCs w:val="24"/>
          <w:lang w:val="en-GB"/>
        </w:rPr>
        <w:t xml:space="preserve">balanced developments </w:t>
      </w:r>
      <w:r w:rsidR="007B1211">
        <w:rPr>
          <w:rFonts w:ascii="Times New Roman" w:eastAsia="Calibri" w:hAnsi="Times New Roman" w:cs="Times New Roman"/>
          <w:sz w:val="24"/>
          <w:szCs w:val="24"/>
          <w:lang w:val="en-GB"/>
        </w:rPr>
        <w:t xml:space="preserve">in sustainability between buyer and supplier firms </w:t>
      </w:r>
      <w:r>
        <w:rPr>
          <w:rFonts w:ascii="Times New Roman" w:eastAsia="Calibri" w:hAnsi="Times New Roman" w:cs="Times New Roman"/>
          <w:sz w:val="24"/>
          <w:szCs w:val="24"/>
          <w:lang w:val="en-GB"/>
        </w:rPr>
        <w:t>lead</w:t>
      </w:r>
      <w:r w:rsidR="007B1211">
        <w:rPr>
          <w:rFonts w:ascii="Times New Roman" w:eastAsia="Calibri" w:hAnsi="Times New Roman" w:cs="Times New Roman"/>
          <w:sz w:val="24"/>
          <w:szCs w:val="24"/>
          <w:lang w:val="en-GB"/>
        </w:rPr>
        <w:t>s</w:t>
      </w:r>
      <w:r w:rsidR="00D16197">
        <w:rPr>
          <w:rFonts w:ascii="Times New Roman" w:eastAsia="Calibri" w:hAnsi="Times New Roman" w:cs="Times New Roman"/>
          <w:sz w:val="24"/>
          <w:szCs w:val="24"/>
          <w:lang w:val="en-GB"/>
        </w:rPr>
        <w:t xml:space="preserve"> </w:t>
      </w:r>
      <w:r w:rsidR="00236FF5">
        <w:rPr>
          <w:rFonts w:ascii="Times New Roman" w:eastAsia="Calibri" w:hAnsi="Times New Roman" w:cs="Times New Roman"/>
          <w:sz w:val="24"/>
          <w:szCs w:val="24"/>
          <w:lang w:val="en-GB"/>
        </w:rPr>
        <w:t>necessarily</w:t>
      </w:r>
      <w:r>
        <w:rPr>
          <w:rFonts w:ascii="Times New Roman" w:eastAsia="Calibri" w:hAnsi="Times New Roman" w:cs="Times New Roman"/>
          <w:sz w:val="24"/>
          <w:szCs w:val="24"/>
          <w:lang w:val="en-GB"/>
        </w:rPr>
        <w:t xml:space="preserve"> to positive </w:t>
      </w:r>
      <w:r w:rsidR="007B1211">
        <w:rPr>
          <w:rFonts w:ascii="Times New Roman" w:eastAsia="Calibri" w:hAnsi="Times New Roman" w:cs="Times New Roman"/>
          <w:sz w:val="24"/>
          <w:szCs w:val="24"/>
          <w:lang w:val="en-GB"/>
        </w:rPr>
        <w:t>returns</w:t>
      </w:r>
      <w:r w:rsidR="00835886">
        <w:rPr>
          <w:rFonts w:ascii="Times New Roman" w:eastAsia="Calibri" w:hAnsi="Times New Roman" w:cs="Times New Roman"/>
          <w:sz w:val="24"/>
          <w:szCs w:val="24"/>
          <w:lang w:val="en-GB"/>
        </w:rPr>
        <w:t xml:space="preserve"> (</w:t>
      </w:r>
      <w:proofErr w:type="spellStart"/>
      <w:r w:rsidR="00835886">
        <w:rPr>
          <w:rFonts w:ascii="Times New Roman" w:eastAsia="Calibri" w:hAnsi="Times New Roman" w:cs="Times New Roman"/>
          <w:sz w:val="24"/>
          <w:szCs w:val="24"/>
          <w:lang w:val="en-GB"/>
        </w:rPr>
        <w:t>Blome</w:t>
      </w:r>
      <w:proofErr w:type="spellEnd"/>
      <w:r w:rsidR="00835886">
        <w:rPr>
          <w:rFonts w:ascii="Times New Roman" w:eastAsia="Calibri" w:hAnsi="Times New Roman" w:cs="Times New Roman"/>
          <w:sz w:val="24"/>
          <w:szCs w:val="24"/>
          <w:lang w:val="en-GB"/>
        </w:rPr>
        <w:t xml:space="preserve"> et al., 2014)</w:t>
      </w:r>
      <w:r>
        <w:rPr>
          <w:rFonts w:ascii="Times New Roman" w:eastAsia="Calibri" w:hAnsi="Times New Roman" w:cs="Times New Roman"/>
          <w:sz w:val="24"/>
          <w:szCs w:val="24"/>
          <w:lang w:val="en-GB"/>
        </w:rPr>
        <w:t>.</w:t>
      </w:r>
      <w:r w:rsidR="007B1211">
        <w:rPr>
          <w:rFonts w:ascii="Times New Roman" w:eastAsia="Calibri" w:hAnsi="Times New Roman" w:cs="Times New Roman"/>
          <w:sz w:val="24"/>
          <w:szCs w:val="24"/>
          <w:lang w:val="en-GB"/>
        </w:rPr>
        <w:t xml:space="preserve"> </w:t>
      </w:r>
      <w:r w:rsidR="001857A7">
        <w:rPr>
          <w:rFonts w:ascii="Times New Roman" w:eastAsia="Calibri" w:hAnsi="Times New Roman" w:cs="Times New Roman"/>
          <w:sz w:val="24"/>
          <w:szCs w:val="24"/>
          <w:lang w:val="en-GB"/>
        </w:rPr>
        <w:t>W</w:t>
      </w:r>
      <w:r w:rsidR="008741BE">
        <w:rPr>
          <w:rFonts w:ascii="Times New Roman" w:eastAsia="Calibri" w:hAnsi="Times New Roman" w:cs="Times New Roman"/>
          <w:sz w:val="24"/>
          <w:szCs w:val="24"/>
          <w:lang w:val="en-GB"/>
        </w:rPr>
        <w:t xml:space="preserve">e identify areas in which </w:t>
      </w:r>
      <w:r w:rsidR="001857A7">
        <w:rPr>
          <w:rFonts w:ascii="Times New Roman" w:eastAsia="Calibri" w:hAnsi="Times New Roman" w:cs="Times New Roman"/>
          <w:sz w:val="24"/>
          <w:szCs w:val="24"/>
          <w:lang w:val="en-GB"/>
        </w:rPr>
        <w:t>reducing buyer-s</w:t>
      </w:r>
      <w:r w:rsidR="001857A7">
        <w:rPr>
          <w:rFonts w:ascii="Times New Roman" w:eastAsia="Calibri" w:hAnsi="Times New Roman" w:cs="Times New Roman"/>
          <w:sz w:val="24"/>
          <w:szCs w:val="24"/>
          <w:lang w:val="en-GB"/>
        </w:rPr>
        <w:t xml:space="preserve">upplier asymmetry may be counterproductive, </w:t>
      </w:r>
      <w:r w:rsidR="001857A7">
        <w:rPr>
          <w:rFonts w:ascii="Times New Roman" w:eastAsia="Calibri" w:hAnsi="Times New Roman" w:cs="Times New Roman"/>
          <w:sz w:val="24"/>
          <w:szCs w:val="24"/>
          <w:lang w:val="en-GB"/>
        </w:rPr>
        <w:t>and we also locate areas in which it does compensate to reduce such asymmetry. Such findings may guide manager</w:t>
      </w:r>
      <w:r w:rsidR="001857A7">
        <w:rPr>
          <w:rFonts w:ascii="Times New Roman" w:eastAsia="Calibri" w:hAnsi="Times New Roman" w:cs="Times New Roman"/>
          <w:sz w:val="24"/>
          <w:szCs w:val="24"/>
          <w:lang w:val="en-GB"/>
        </w:rPr>
        <w:t>s on developing their supply chain sustainability strategies.</w:t>
      </w:r>
      <w:r w:rsidR="00330C44">
        <w:rPr>
          <w:rFonts w:ascii="Times New Roman" w:eastAsia="Calibri" w:hAnsi="Times New Roman" w:cs="Times New Roman"/>
          <w:sz w:val="24"/>
          <w:szCs w:val="24"/>
          <w:lang w:val="en-GB"/>
        </w:rPr>
        <w:t xml:space="preserve"> </w:t>
      </w:r>
      <w:r w:rsidR="00A722D8">
        <w:rPr>
          <w:rFonts w:ascii="Times New Roman" w:eastAsia="Calibri" w:hAnsi="Times New Roman" w:cs="Times New Roman"/>
          <w:sz w:val="24"/>
          <w:szCs w:val="24"/>
          <w:lang w:val="en-GB"/>
        </w:rPr>
        <w:t xml:space="preserve"> </w:t>
      </w:r>
    </w:p>
    <w:p w14:paraId="0C57FF9D" w14:textId="42FFBEDF" w:rsidR="00DF5E43" w:rsidRDefault="00DF5E43" w:rsidP="00744A91">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As potential limitations of the paper, we could mention that it is focused on sensitive industries, and some of its </w:t>
      </w:r>
      <w:r>
        <w:rPr>
          <w:rFonts w:ascii="Times New Roman" w:eastAsia="Calibri" w:hAnsi="Times New Roman" w:cs="Times New Roman"/>
          <w:sz w:val="24"/>
          <w:szCs w:val="24"/>
          <w:lang w:val="en-GB"/>
        </w:rPr>
        <w:t>findings could not apply to other sectors. For example, more “standard” sectors, where sustainability is not considered a critical issue, mig</w:t>
      </w:r>
      <w:r>
        <w:rPr>
          <w:rFonts w:ascii="Times New Roman" w:eastAsia="Calibri" w:hAnsi="Times New Roman" w:cs="Times New Roman"/>
          <w:sz w:val="24"/>
          <w:szCs w:val="24"/>
          <w:lang w:val="en-GB"/>
        </w:rPr>
        <w:t xml:space="preserve">ht </w:t>
      </w:r>
      <w:r w:rsidR="000A0867">
        <w:rPr>
          <w:rFonts w:ascii="Times New Roman" w:eastAsia="Calibri" w:hAnsi="Times New Roman" w:cs="Times New Roman"/>
          <w:sz w:val="24"/>
          <w:szCs w:val="24"/>
          <w:lang w:val="en-GB"/>
        </w:rPr>
        <w:t xml:space="preserve">present </w:t>
      </w:r>
      <w:r w:rsidR="000A0867">
        <w:rPr>
          <w:rFonts w:ascii="Times New Roman" w:eastAsia="Calibri" w:hAnsi="Times New Roman" w:cs="Times New Roman"/>
          <w:sz w:val="24"/>
          <w:szCs w:val="24"/>
          <w:lang w:val="en-GB"/>
        </w:rPr>
        <w:lastRenderedPageBreak/>
        <w:t>less significant</w:t>
      </w:r>
      <w:r w:rsidR="000A0867">
        <w:rPr>
          <w:rFonts w:ascii="Times New Roman" w:eastAsia="Calibri" w:hAnsi="Times New Roman" w:cs="Times New Roman"/>
          <w:sz w:val="24"/>
          <w:szCs w:val="24"/>
          <w:lang w:val="en-GB"/>
        </w:rPr>
        <w:t xml:space="preserve"> effects of buyer-supplier asymmetries</w:t>
      </w:r>
      <w:r w:rsidR="000A0867">
        <w:rPr>
          <w:rFonts w:ascii="Times New Roman" w:eastAsia="Calibri" w:hAnsi="Times New Roman" w:cs="Times New Roman"/>
          <w:sz w:val="24"/>
          <w:szCs w:val="24"/>
          <w:lang w:val="en-GB"/>
        </w:rPr>
        <w:t xml:space="preserve"> on buyer performance</w:t>
      </w:r>
      <w:r w:rsidR="000A0867">
        <w:rPr>
          <w:rFonts w:ascii="Times New Roman" w:eastAsia="Calibri" w:hAnsi="Times New Roman" w:cs="Times New Roman"/>
          <w:sz w:val="24"/>
          <w:szCs w:val="24"/>
          <w:lang w:val="en-GB"/>
        </w:rPr>
        <w:t>.</w:t>
      </w:r>
      <w:r w:rsidR="000A0867">
        <w:rPr>
          <w:rFonts w:ascii="Times New Roman" w:eastAsia="Calibri" w:hAnsi="Times New Roman" w:cs="Times New Roman"/>
          <w:sz w:val="24"/>
          <w:szCs w:val="24"/>
          <w:lang w:val="en-GB"/>
        </w:rPr>
        <w:t xml:space="preserve"> This should be verified in further studies. </w:t>
      </w:r>
    </w:p>
    <w:p w14:paraId="3CC8B1D0" w14:textId="06FEF793" w:rsidR="00836780" w:rsidRDefault="00836780" w:rsidP="00925ADA">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There are several potential lines of research </w:t>
      </w:r>
      <w:r w:rsidR="00835886">
        <w:rPr>
          <w:rFonts w:ascii="Times New Roman" w:eastAsia="Calibri" w:hAnsi="Times New Roman" w:cs="Times New Roman"/>
          <w:sz w:val="24"/>
          <w:szCs w:val="24"/>
          <w:lang w:val="en-GB"/>
        </w:rPr>
        <w:t xml:space="preserve">that could </w:t>
      </w:r>
      <w:r w:rsidR="00835886">
        <w:rPr>
          <w:rFonts w:ascii="Times New Roman" w:eastAsia="Calibri" w:hAnsi="Times New Roman" w:cs="Times New Roman"/>
          <w:sz w:val="24"/>
          <w:szCs w:val="24"/>
          <w:lang w:val="en-GB"/>
        </w:rPr>
        <w:t>complement</w:t>
      </w:r>
      <w:r w:rsidR="00835886">
        <w:rPr>
          <w:rFonts w:ascii="Times New Roman" w:eastAsia="Calibri" w:hAnsi="Times New Roman" w:cs="Times New Roman"/>
          <w:sz w:val="24"/>
          <w:szCs w:val="24"/>
          <w:lang w:val="en-GB"/>
        </w:rPr>
        <w:t xml:space="preserve"> the present study</w:t>
      </w:r>
      <w:r>
        <w:rPr>
          <w:rFonts w:ascii="Times New Roman" w:eastAsia="Calibri" w:hAnsi="Times New Roman" w:cs="Times New Roman"/>
          <w:sz w:val="24"/>
          <w:szCs w:val="24"/>
          <w:lang w:val="en-GB"/>
        </w:rPr>
        <w:t xml:space="preserve">. Firstly, it would be interesting to </w:t>
      </w:r>
      <w:r>
        <w:rPr>
          <w:rFonts w:ascii="Times New Roman" w:eastAsia="Calibri" w:hAnsi="Times New Roman" w:cs="Times New Roman"/>
          <w:sz w:val="24"/>
          <w:szCs w:val="24"/>
          <w:lang w:val="en-GB"/>
        </w:rPr>
        <w:t xml:space="preserve">contrast results for </w:t>
      </w:r>
      <w:r w:rsidR="00835886">
        <w:rPr>
          <w:rFonts w:ascii="Times New Roman" w:eastAsia="Calibri" w:hAnsi="Times New Roman" w:cs="Times New Roman"/>
          <w:sz w:val="24"/>
          <w:szCs w:val="24"/>
          <w:lang w:val="en-GB"/>
        </w:rPr>
        <w:t>different</w:t>
      </w:r>
      <w:r>
        <w:rPr>
          <w:rFonts w:ascii="Times New Roman" w:eastAsia="Calibri" w:hAnsi="Times New Roman" w:cs="Times New Roman"/>
          <w:sz w:val="24"/>
          <w:szCs w:val="24"/>
          <w:lang w:val="en-GB"/>
        </w:rPr>
        <w:t xml:space="preserve"> categories of materials, using for example the </w:t>
      </w:r>
      <w:proofErr w:type="spellStart"/>
      <w:r>
        <w:rPr>
          <w:rFonts w:ascii="Times New Roman" w:eastAsia="Calibri" w:hAnsi="Times New Roman" w:cs="Times New Roman"/>
          <w:sz w:val="24"/>
          <w:szCs w:val="24"/>
          <w:lang w:val="en-GB"/>
        </w:rPr>
        <w:t>Kraljic</w:t>
      </w:r>
      <w:proofErr w:type="spellEnd"/>
      <w:r>
        <w:rPr>
          <w:rFonts w:ascii="Times New Roman" w:eastAsia="Calibri" w:hAnsi="Times New Roman" w:cs="Times New Roman"/>
          <w:sz w:val="24"/>
          <w:szCs w:val="24"/>
          <w:lang w:val="en-GB"/>
        </w:rPr>
        <w:t xml:space="preserve"> matrix. </w:t>
      </w:r>
      <w:r>
        <w:rPr>
          <w:rFonts w:ascii="Times New Roman" w:eastAsia="Calibri" w:hAnsi="Times New Roman" w:cs="Times New Roman"/>
          <w:sz w:val="24"/>
          <w:szCs w:val="24"/>
          <w:lang w:val="en-GB"/>
        </w:rPr>
        <w:t xml:space="preserve">Previous research shows that the </w:t>
      </w:r>
      <w:r w:rsidR="004A3EF3">
        <w:rPr>
          <w:rFonts w:ascii="Times New Roman" w:eastAsia="Calibri" w:hAnsi="Times New Roman" w:cs="Times New Roman"/>
          <w:sz w:val="24"/>
          <w:szCs w:val="24"/>
          <w:lang w:val="en-GB"/>
        </w:rPr>
        <w:t>implementation</w:t>
      </w:r>
      <w:r>
        <w:rPr>
          <w:rFonts w:ascii="Times New Roman" w:eastAsia="Calibri" w:hAnsi="Times New Roman" w:cs="Times New Roman"/>
          <w:sz w:val="24"/>
          <w:szCs w:val="24"/>
          <w:lang w:val="en-GB"/>
        </w:rPr>
        <w:t xml:space="preserve"> of supply chain sustainability initiatives depend</w:t>
      </w:r>
      <w:r w:rsidR="0001323F">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 on the </w:t>
      </w:r>
      <w:proofErr w:type="spellStart"/>
      <w:r>
        <w:rPr>
          <w:rFonts w:ascii="Times New Roman" w:eastAsia="Calibri" w:hAnsi="Times New Roman" w:cs="Times New Roman"/>
          <w:sz w:val="24"/>
          <w:szCs w:val="24"/>
          <w:lang w:val="en-GB"/>
        </w:rPr>
        <w:t>Kral</w:t>
      </w:r>
      <w:r>
        <w:rPr>
          <w:rFonts w:ascii="Times New Roman" w:eastAsia="Calibri" w:hAnsi="Times New Roman" w:cs="Times New Roman"/>
          <w:sz w:val="24"/>
          <w:szCs w:val="24"/>
          <w:lang w:val="en-GB"/>
        </w:rPr>
        <w:t>jic</w:t>
      </w:r>
      <w:proofErr w:type="spellEnd"/>
      <w:r>
        <w:rPr>
          <w:rFonts w:ascii="Times New Roman" w:eastAsia="Calibri" w:hAnsi="Times New Roman" w:cs="Times New Roman"/>
          <w:sz w:val="24"/>
          <w:szCs w:val="24"/>
          <w:lang w:val="en-GB"/>
        </w:rPr>
        <w:t xml:space="preserve"> matrix </w:t>
      </w:r>
      <w:r>
        <w:rPr>
          <w:rFonts w:ascii="Times New Roman" w:eastAsia="Calibri" w:hAnsi="Times New Roman" w:cs="Times New Roman"/>
          <w:sz w:val="24"/>
          <w:szCs w:val="24"/>
          <w:lang w:val="en-GB"/>
        </w:rPr>
        <w:t>material</w:t>
      </w:r>
      <w:r>
        <w:rPr>
          <w:rFonts w:ascii="Times New Roman" w:eastAsia="Calibri" w:hAnsi="Times New Roman" w:cs="Times New Roman"/>
          <w:sz w:val="24"/>
          <w:szCs w:val="24"/>
          <w:lang w:val="en-GB"/>
        </w:rPr>
        <w:t xml:space="preserve"> category.</w:t>
      </w:r>
      <w:r w:rsidR="00925ADA">
        <w:rPr>
          <w:rFonts w:ascii="Times New Roman" w:eastAsia="Calibri" w:hAnsi="Times New Roman" w:cs="Times New Roman"/>
          <w:sz w:val="24"/>
          <w:szCs w:val="24"/>
          <w:lang w:val="en-GB"/>
        </w:rPr>
        <w:t xml:space="preserve"> For example, the </w:t>
      </w:r>
      <w:r w:rsidR="00925ADA" w:rsidRPr="00925ADA">
        <w:rPr>
          <w:rFonts w:ascii="Times New Roman" w:eastAsia="Calibri" w:hAnsi="Times New Roman" w:cs="Times New Roman"/>
          <w:sz w:val="24"/>
          <w:szCs w:val="24"/>
          <w:lang w:val="en-GB"/>
        </w:rPr>
        <w:t>implementation of sustainable</w:t>
      </w:r>
      <w:r w:rsidR="00925ADA">
        <w:rPr>
          <w:rFonts w:ascii="Times New Roman" w:eastAsia="Calibri" w:hAnsi="Times New Roman" w:cs="Times New Roman"/>
          <w:sz w:val="24"/>
          <w:szCs w:val="24"/>
          <w:lang w:val="en-GB"/>
        </w:rPr>
        <w:t xml:space="preserve"> </w:t>
      </w:r>
      <w:r w:rsidR="00925ADA" w:rsidRPr="00925ADA">
        <w:rPr>
          <w:rFonts w:ascii="Times New Roman" w:eastAsia="Calibri" w:hAnsi="Times New Roman" w:cs="Times New Roman"/>
          <w:sz w:val="24"/>
          <w:szCs w:val="24"/>
          <w:lang w:val="en-GB"/>
        </w:rPr>
        <w:t>sourcing practices implies cost-related trade-offs for noncritical items</w:t>
      </w:r>
      <w:r w:rsidR="0001323F">
        <w:rPr>
          <w:rFonts w:ascii="Times New Roman" w:eastAsia="Calibri" w:hAnsi="Times New Roman" w:cs="Times New Roman"/>
          <w:sz w:val="24"/>
          <w:szCs w:val="24"/>
          <w:lang w:val="en-GB"/>
        </w:rPr>
        <w:t xml:space="preserve">, whereas strategic items require higher supplier integration and interdependence </w:t>
      </w:r>
      <w:r w:rsidR="00925ADA">
        <w:rPr>
          <w:rFonts w:ascii="Times New Roman" w:eastAsia="Calibri" w:hAnsi="Times New Roman" w:cs="Times New Roman"/>
          <w:sz w:val="24"/>
          <w:szCs w:val="24"/>
          <w:lang w:val="en-GB"/>
        </w:rPr>
        <w:t>(</w:t>
      </w:r>
      <w:proofErr w:type="spellStart"/>
      <w:r w:rsidR="00925ADA">
        <w:rPr>
          <w:rFonts w:ascii="Times New Roman" w:eastAsia="Calibri" w:hAnsi="Times New Roman" w:cs="Times New Roman"/>
          <w:sz w:val="24"/>
          <w:szCs w:val="24"/>
          <w:lang w:val="en-GB"/>
        </w:rPr>
        <w:t>Dhabilkar</w:t>
      </w:r>
      <w:proofErr w:type="spellEnd"/>
      <w:r w:rsidR="00925ADA">
        <w:rPr>
          <w:rFonts w:ascii="Times New Roman" w:eastAsia="Calibri" w:hAnsi="Times New Roman" w:cs="Times New Roman"/>
          <w:sz w:val="24"/>
          <w:szCs w:val="24"/>
          <w:lang w:val="en-GB"/>
        </w:rPr>
        <w:t xml:space="preserve"> et al., 2016)</w:t>
      </w:r>
      <w:r w:rsidR="00925ADA" w:rsidRPr="00925ADA">
        <w:rPr>
          <w:rFonts w:ascii="Times New Roman" w:eastAsia="Calibri" w:hAnsi="Times New Roman" w:cs="Times New Roman"/>
          <w:sz w:val="24"/>
          <w:szCs w:val="24"/>
          <w:lang w:val="en-GB"/>
        </w:rPr>
        <w:t>.</w:t>
      </w:r>
    </w:p>
    <w:p w14:paraId="3DC742F1" w14:textId="3F9B856B" w:rsidR="006910DE" w:rsidRDefault="006910DE" w:rsidP="000A006A">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Secondly, results might be different for companies following different SSCM strategies. </w:t>
      </w:r>
      <w:r w:rsidR="00E42F54">
        <w:rPr>
          <w:rFonts w:ascii="Times New Roman" w:eastAsia="Calibri" w:hAnsi="Times New Roman" w:cs="Times New Roman"/>
          <w:sz w:val="24"/>
          <w:szCs w:val="24"/>
          <w:lang w:val="en-GB"/>
        </w:rPr>
        <w:t xml:space="preserve">Following </w:t>
      </w:r>
      <w:proofErr w:type="spellStart"/>
      <w:r w:rsidR="00E42F54">
        <w:rPr>
          <w:rFonts w:ascii="Times New Roman" w:eastAsia="Calibri" w:hAnsi="Times New Roman" w:cs="Times New Roman"/>
          <w:sz w:val="24"/>
          <w:szCs w:val="24"/>
          <w:lang w:val="en-GB"/>
        </w:rPr>
        <w:t>Grosvold</w:t>
      </w:r>
      <w:proofErr w:type="spellEnd"/>
      <w:r w:rsidR="00E42F54">
        <w:rPr>
          <w:rFonts w:ascii="Times New Roman" w:eastAsia="Calibri" w:hAnsi="Times New Roman" w:cs="Times New Roman"/>
          <w:sz w:val="24"/>
          <w:szCs w:val="24"/>
          <w:lang w:val="en-GB"/>
        </w:rPr>
        <w:t xml:space="preserve"> et al.</w:t>
      </w:r>
      <w:r w:rsidR="00E42F54">
        <w:rPr>
          <w:rFonts w:ascii="Times New Roman" w:eastAsia="Calibri" w:hAnsi="Times New Roman" w:cs="Times New Roman"/>
          <w:sz w:val="24"/>
          <w:szCs w:val="24"/>
          <w:lang w:val="en-GB"/>
        </w:rPr>
        <w:t xml:space="preserve"> </w:t>
      </w:r>
      <w:r w:rsidR="00E42F54" w:rsidRPr="00E42F54">
        <w:rPr>
          <w:rFonts w:ascii="Times New Roman" w:eastAsia="Calibri" w:hAnsi="Times New Roman" w:cs="Times New Roman"/>
          <w:sz w:val="24"/>
          <w:szCs w:val="24"/>
          <w:lang w:val="en-GB"/>
        </w:rPr>
        <w:t>(2014)</w:t>
      </w:r>
      <w:r w:rsidR="00E42F54">
        <w:rPr>
          <w:rFonts w:ascii="Times New Roman" w:eastAsia="Calibri" w:hAnsi="Times New Roman" w:cs="Times New Roman"/>
          <w:sz w:val="24"/>
          <w:szCs w:val="24"/>
          <w:lang w:val="en-GB"/>
        </w:rPr>
        <w:t xml:space="preserve">’s </w:t>
      </w:r>
      <w:r w:rsidR="00E42F54">
        <w:rPr>
          <w:rFonts w:ascii="Times New Roman" w:eastAsia="Calibri" w:hAnsi="Times New Roman" w:cs="Times New Roman"/>
          <w:sz w:val="24"/>
          <w:szCs w:val="24"/>
          <w:lang w:val="en-GB"/>
        </w:rPr>
        <w:t xml:space="preserve">classification, in four approaches (i.e. </w:t>
      </w:r>
      <w:r w:rsidR="00E42F54" w:rsidRPr="00E42F54">
        <w:rPr>
          <w:rFonts w:ascii="Times New Roman" w:eastAsia="Calibri" w:hAnsi="Times New Roman" w:cs="Times New Roman"/>
          <w:sz w:val="24"/>
          <w:szCs w:val="24"/>
          <w:lang w:val="en-GB"/>
        </w:rPr>
        <w:t>reactive, defensive, accommodative and proactive</w:t>
      </w:r>
      <w:r w:rsidR="00E42F54">
        <w:rPr>
          <w:rFonts w:ascii="Times New Roman" w:eastAsia="Calibri" w:hAnsi="Times New Roman" w:cs="Times New Roman"/>
          <w:sz w:val="24"/>
          <w:szCs w:val="24"/>
          <w:lang w:val="en-GB"/>
        </w:rPr>
        <w:t>)</w:t>
      </w:r>
      <w:r w:rsidR="00903879">
        <w:rPr>
          <w:rFonts w:ascii="Times New Roman" w:eastAsia="Calibri" w:hAnsi="Times New Roman" w:cs="Times New Roman"/>
          <w:sz w:val="24"/>
          <w:szCs w:val="24"/>
          <w:lang w:val="en-GB"/>
        </w:rPr>
        <w:t xml:space="preserve">, we would expect </w:t>
      </w:r>
      <w:r>
        <w:rPr>
          <w:rFonts w:ascii="Times New Roman" w:eastAsia="Calibri" w:hAnsi="Times New Roman" w:cs="Times New Roman"/>
          <w:sz w:val="24"/>
          <w:szCs w:val="24"/>
          <w:lang w:val="en-GB"/>
        </w:rPr>
        <w:t xml:space="preserve">“reactive” SSCM </w:t>
      </w:r>
      <w:r w:rsidR="00903879">
        <w:rPr>
          <w:rFonts w:ascii="Times New Roman" w:eastAsia="Calibri" w:hAnsi="Times New Roman" w:cs="Times New Roman"/>
          <w:sz w:val="24"/>
          <w:szCs w:val="24"/>
          <w:lang w:val="en-GB"/>
        </w:rPr>
        <w:t>to be associated with</w:t>
      </w:r>
      <w:r>
        <w:rPr>
          <w:rFonts w:ascii="Times New Roman" w:eastAsia="Calibri" w:hAnsi="Times New Roman" w:cs="Times New Roman"/>
          <w:sz w:val="24"/>
          <w:szCs w:val="24"/>
          <w:lang w:val="en-GB"/>
        </w:rPr>
        <w:t xml:space="preserve"> more </w:t>
      </w:r>
      <w:r w:rsidR="0090387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asymmetrical</w:t>
      </w:r>
      <w:r w:rsidR="00903879">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relationships, whereas “proactive” would tend to have more “symmetrical</w:t>
      </w:r>
      <w:r>
        <w:rPr>
          <w:rFonts w:ascii="Times New Roman" w:eastAsia="Calibri" w:hAnsi="Times New Roman" w:cs="Times New Roman"/>
          <w:sz w:val="24"/>
          <w:szCs w:val="24"/>
          <w:lang w:val="en-GB"/>
        </w:rPr>
        <w:t>” relationships.</w:t>
      </w:r>
      <w:r w:rsidR="002E0535">
        <w:rPr>
          <w:rFonts w:ascii="Times New Roman" w:eastAsia="Calibri" w:hAnsi="Times New Roman" w:cs="Times New Roman"/>
          <w:sz w:val="24"/>
          <w:szCs w:val="24"/>
          <w:lang w:val="en-GB"/>
        </w:rPr>
        <w:t xml:space="preserve"> </w:t>
      </w:r>
    </w:p>
    <w:p w14:paraId="18CED714" w14:textId="17BC5297" w:rsidR="00A1375A" w:rsidRPr="000A006A" w:rsidRDefault="00A1375A" w:rsidP="000A006A">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Another interesting line of research could be to </w:t>
      </w:r>
      <w:r>
        <w:rPr>
          <w:rFonts w:ascii="Times New Roman" w:eastAsia="Calibri" w:hAnsi="Times New Roman" w:cs="Times New Roman"/>
          <w:sz w:val="24"/>
          <w:szCs w:val="24"/>
          <w:lang w:val="en-GB"/>
        </w:rPr>
        <w:t>analyse</w:t>
      </w: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how buyer-supplier sustainability asymmetries affect eco-innovation</w:t>
      </w:r>
      <w:r w:rsidR="006A618A">
        <w:rPr>
          <w:rFonts w:ascii="Times New Roman" w:eastAsia="Calibri" w:hAnsi="Times New Roman" w:cs="Times New Roman"/>
          <w:sz w:val="24"/>
          <w:szCs w:val="24"/>
          <w:lang w:val="en-GB"/>
        </w:rPr>
        <w:t xml:space="preserve"> (</w:t>
      </w:r>
      <w:r w:rsidR="006A618A">
        <w:rPr>
          <w:rFonts w:ascii="Times New Roman" w:eastAsia="Calibri" w:hAnsi="Times New Roman" w:cs="Times New Roman"/>
          <w:sz w:val="24"/>
          <w:szCs w:val="24"/>
          <w:lang w:val="en-GB"/>
        </w:rPr>
        <w:t xml:space="preserve">i.e. </w:t>
      </w:r>
      <w:r w:rsidR="006A618A">
        <w:rPr>
          <w:rFonts w:ascii="Times New Roman" w:eastAsia="Calibri" w:hAnsi="Times New Roman" w:cs="Times New Roman"/>
          <w:sz w:val="24"/>
          <w:szCs w:val="24"/>
          <w:lang w:val="en-GB"/>
        </w:rPr>
        <w:t>“</w:t>
      </w:r>
      <w:r w:rsidR="006A618A" w:rsidRPr="006A618A">
        <w:rPr>
          <w:rFonts w:ascii="Times New Roman" w:eastAsia="Calibri" w:hAnsi="Times New Roman" w:cs="Times New Roman"/>
          <w:sz w:val="24"/>
          <w:szCs w:val="24"/>
          <w:lang w:val="en-GB"/>
        </w:rPr>
        <w:t>the de</w:t>
      </w:r>
      <w:r w:rsidR="006A618A">
        <w:rPr>
          <w:rFonts w:ascii="Times New Roman" w:eastAsia="Calibri" w:hAnsi="Times New Roman" w:cs="Times New Roman"/>
          <w:sz w:val="24"/>
          <w:szCs w:val="24"/>
          <w:lang w:val="en-GB"/>
        </w:rPr>
        <w:t>velopment of products</w:t>
      </w:r>
      <w:r w:rsidR="006A618A" w:rsidRPr="006A618A">
        <w:rPr>
          <w:rFonts w:ascii="Times New Roman" w:eastAsia="Calibri" w:hAnsi="Times New Roman" w:cs="Times New Roman"/>
          <w:sz w:val="24"/>
          <w:szCs w:val="24"/>
          <w:lang w:val="en-GB"/>
        </w:rPr>
        <w:t xml:space="preserve">, processes, marketing methods, organizational structure, and new or improved institutional arrangements, which, intentionally or not, contribute to a reduction of environmental impact in comparison with alternative practices” </w:t>
      </w:r>
      <w:r w:rsidR="006A618A">
        <w:rPr>
          <w:rFonts w:ascii="Times New Roman" w:eastAsia="Calibri" w:hAnsi="Times New Roman" w:cs="Times New Roman"/>
          <w:sz w:val="24"/>
          <w:szCs w:val="24"/>
          <w:lang w:val="en-GB"/>
        </w:rPr>
        <w:t xml:space="preserve">- </w:t>
      </w:r>
      <w:r w:rsidR="006A618A" w:rsidRPr="006A618A">
        <w:rPr>
          <w:rFonts w:ascii="Times New Roman" w:eastAsia="Calibri" w:hAnsi="Times New Roman" w:cs="Times New Roman"/>
          <w:sz w:val="24"/>
          <w:szCs w:val="24"/>
          <w:lang w:val="en-GB"/>
        </w:rPr>
        <w:t xml:space="preserve">see </w:t>
      </w:r>
      <w:proofErr w:type="spellStart"/>
      <w:r w:rsidR="006A618A">
        <w:rPr>
          <w:rFonts w:ascii="Times New Roman" w:eastAsia="Calibri" w:hAnsi="Times New Roman" w:cs="Times New Roman"/>
          <w:sz w:val="24"/>
          <w:szCs w:val="24"/>
          <w:lang w:val="en-GB"/>
        </w:rPr>
        <w:t>Bossle</w:t>
      </w:r>
      <w:proofErr w:type="spellEnd"/>
      <w:r w:rsidR="006A618A">
        <w:rPr>
          <w:rFonts w:ascii="Times New Roman" w:eastAsia="Calibri" w:hAnsi="Times New Roman" w:cs="Times New Roman"/>
          <w:sz w:val="24"/>
          <w:szCs w:val="24"/>
          <w:lang w:val="en-GB"/>
        </w:rPr>
        <w:t xml:space="preserve"> et al., 2016</w:t>
      </w:r>
      <w:r w:rsidR="006A618A">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r w:rsidR="00835886">
        <w:rPr>
          <w:rFonts w:ascii="Times New Roman" w:eastAsia="Calibri" w:hAnsi="Times New Roman" w:cs="Times New Roman"/>
          <w:sz w:val="24"/>
          <w:szCs w:val="24"/>
          <w:lang w:val="en-GB"/>
        </w:rPr>
        <w:t>Also, t</w:t>
      </w:r>
      <w:r>
        <w:rPr>
          <w:rFonts w:ascii="Times New Roman" w:eastAsia="Calibri" w:hAnsi="Times New Roman" w:cs="Times New Roman"/>
          <w:sz w:val="24"/>
          <w:szCs w:val="24"/>
          <w:lang w:val="en-GB"/>
        </w:rPr>
        <w:t xml:space="preserve">here is an increasing </w:t>
      </w:r>
      <w:r>
        <w:rPr>
          <w:rFonts w:ascii="Times New Roman" w:eastAsia="Calibri" w:hAnsi="Times New Roman" w:cs="Times New Roman"/>
          <w:sz w:val="24"/>
          <w:szCs w:val="24"/>
          <w:lang w:val="en-GB"/>
        </w:rPr>
        <w:t xml:space="preserve">amount of research </w:t>
      </w:r>
      <w:r>
        <w:rPr>
          <w:rFonts w:ascii="Times New Roman" w:eastAsia="Calibri" w:hAnsi="Times New Roman" w:cs="Times New Roman"/>
          <w:sz w:val="24"/>
          <w:szCs w:val="24"/>
          <w:lang w:val="en-GB"/>
        </w:rPr>
        <w:t xml:space="preserve">exploring </w:t>
      </w:r>
      <w:r>
        <w:rPr>
          <w:rFonts w:ascii="Times New Roman" w:eastAsia="Calibri" w:hAnsi="Times New Roman" w:cs="Times New Roman"/>
          <w:sz w:val="24"/>
          <w:szCs w:val="24"/>
          <w:lang w:val="en-GB"/>
        </w:rPr>
        <w:t>the factors that influence the relationship</w:t>
      </w:r>
      <w:r w:rsidRPr="00A1375A">
        <w:rPr>
          <w:rFonts w:ascii="Times New Roman" w:eastAsia="Calibri" w:hAnsi="Times New Roman" w:cs="Times New Roman"/>
          <w:sz w:val="24"/>
          <w:szCs w:val="24"/>
          <w:lang w:val="en-GB"/>
        </w:rPr>
        <w:t xml:space="preserve"> between </w:t>
      </w:r>
      <w:r>
        <w:rPr>
          <w:rFonts w:ascii="Times New Roman" w:eastAsia="Calibri" w:hAnsi="Times New Roman" w:cs="Times New Roman"/>
          <w:sz w:val="24"/>
          <w:szCs w:val="24"/>
          <w:lang w:val="en-GB"/>
        </w:rPr>
        <w:t xml:space="preserve">interorganizational </w:t>
      </w:r>
      <w:r w:rsidRPr="00A1375A">
        <w:rPr>
          <w:rFonts w:ascii="Times New Roman" w:eastAsia="Calibri" w:hAnsi="Times New Roman" w:cs="Times New Roman"/>
          <w:sz w:val="24"/>
          <w:szCs w:val="24"/>
          <w:lang w:val="en-GB"/>
        </w:rPr>
        <w:t xml:space="preserve">collaboration and innovation </w:t>
      </w:r>
      <w:r>
        <w:rPr>
          <w:rFonts w:ascii="Times New Roman" w:eastAsia="Calibri" w:hAnsi="Times New Roman" w:cs="Times New Roman"/>
          <w:sz w:val="24"/>
          <w:szCs w:val="24"/>
          <w:lang w:val="en-GB"/>
        </w:rPr>
        <w:t xml:space="preserve">(e.g. Awan and </w:t>
      </w:r>
      <w:proofErr w:type="spellStart"/>
      <w:r>
        <w:rPr>
          <w:rFonts w:ascii="Times New Roman" w:eastAsia="Calibri" w:hAnsi="Times New Roman" w:cs="Times New Roman"/>
          <w:sz w:val="24"/>
          <w:szCs w:val="24"/>
          <w:lang w:val="en-GB"/>
        </w:rPr>
        <w:t>Sroufe</w:t>
      </w:r>
      <w:proofErr w:type="spellEnd"/>
      <w:r>
        <w:rPr>
          <w:rFonts w:ascii="Times New Roman" w:eastAsia="Calibri" w:hAnsi="Times New Roman" w:cs="Times New Roman"/>
          <w:sz w:val="24"/>
          <w:szCs w:val="24"/>
          <w:lang w:val="en-GB"/>
        </w:rPr>
        <w:t>, 2020), and sustainability asymmetries could add to this debate</w:t>
      </w:r>
      <w:r w:rsidRPr="00A1375A">
        <w:rPr>
          <w:rFonts w:ascii="Times New Roman" w:eastAsia="Calibri" w:hAnsi="Times New Roman" w:cs="Times New Roman"/>
          <w:sz w:val="24"/>
          <w:szCs w:val="24"/>
          <w:lang w:val="en-GB"/>
        </w:rPr>
        <w:t>.</w:t>
      </w:r>
      <w:r w:rsidRPr="00A1375A">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Similarly, it would be interesting to verify the influence of buyer-supplier asymmetry in different new product development (NPD) approaches. More specifically, Brockhaus et al. (2019) identified </w:t>
      </w:r>
      <w:r w:rsidRPr="000A006A">
        <w:rPr>
          <w:rFonts w:ascii="Times New Roman" w:eastAsia="Calibri" w:hAnsi="Times New Roman" w:cs="Times New Roman"/>
          <w:sz w:val="24"/>
          <w:szCs w:val="24"/>
          <w:lang w:val="en-GB"/>
        </w:rPr>
        <w:t xml:space="preserve">three different approaches companies pursue toward translating sustainability strategy into their supply </w:t>
      </w:r>
      <w:r w:rsidRPr="000A006A">
        <w:rPr>
          <w:rFonts w:ascii="Times New Roman" w:eastAsia="Calibri" w:hAnsi="Times New Roman" w:cs="Times New Roman"/>
          <w:sz w:val="24"/>
          <w:szCs w:val="24"/>
          <w:lang w:val="en-GB"/>
        </w:rPr>
        <w:lastRenderedPageBreak/>
        <w:t>chain operations</w:t>
      </w:r>
      <w:r>
        <w:rPr>
          <w:rFonts w:ascii="Times New Roman" w:eastAsia="Calibri" w:hAnsi="Times New Roman" w:cs="Times New Roman"/>
          <w:sz w:val="24"/>
          <w:szCs w:val="24"/>
          <w:lang w:val="en-GB"/>
        </w:rPr>
        <w:t>: “dabblers”, “Do it Yourself” and “codifiers”. We could expect that different NPD approaches would be differently affected by sustainability asymmetries.</w:t>
      </w:r>
    </w:p>
    <w:p w14:paraId="33764A5E" w14:textId="4C5A2613" w:rsidR="00690443" w:rsidRDefault="00CD4011" w:rsidP="00744A91">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In addition</w:t>
      </w:r>
      <w:r w:rsidR="00690443">
        <w:rPr>
          <w:rFonts w:ascii="Times New Roman" w:eastAsia="Calibri" w:hAnsi="Times New Roman" w:cs="Times New Roman"/>
          <w:sz w:val="24"/>
          <w:szCs w:val="24"/>
          <w:lang w:val="en-GB"/>
        </w:rPr>
        <w:t xml:space="preserve">, a potential line of research could be </w:t>
      </w:r>
      <w:r w:rsidR="00690443">
        <w:rPr>
          <w:rFonts w:ascii="Times New Roman" w:eastAsia="Calibri" w:hAnsi="Times New Roman" w:cs="Times New Roman"/>
          <w:sz w:val="24"/>
          <w:szCs w:val="24"/>
          <w:lang w:val="en-GB"/>
        </w:rPr>
        <w:t xml:space="preserve">to contrast the two main </w:t>
      </w:r>
      <w:r w:rsidR="009719CE">
        <w:rPr>
          <w:rFonts w:ascii="Times New Roman" w:eastAsia="Calibri" w:hAnsi="Times New Roman" w:cs="Times New Roman"/>
          <w:sz w:val="24"/>
          <w:szCs w:val="24"/>
          <w:lang w:val="en-GB"/>
        </w:rPr>
        <w:t xml:space="preserve">supplier sustainability </w:t>
      </w:r>
      <w:r w:rsidR="00690443">
        <w:rPr>
          <w:rFonts w:ascii="Times New Roman" w:eastAsia="Calibri" w:hAnsi="Times New Roman" w:cs="Times New Roman"/>
          <w:sz w:val="24"/>
          <w:szCs w:val="24"/>
          <w:lang w:val="en-GB"/>
        </w:rPr>
        <w:t>strategies of monitoring vs. collaboration</w:t>
      </w:r>
      <w:r w:rsidR="00690443">
        <w:rPr>
          <w:rFonts w:ascii="Times New Roman" w:eastAsia="Calibri" w:hAnsi="Times New Roman" w:cs="Times New Roman"/>
          <w:sz w:val="24"/>
          <w:szCs w:val="24"/>
          <w:lang w:val="en-GB"/>
        </w:rPr>
        <w:t xml:space="preserve"> (</w:t>
      </w:r>
      <w:proofErr w:type="spellStart"/>
      <w:r w:rsidR="00690443">
        <w:rPr>
          <w:rFonts w:ascii="Times New Roman" w:eastAsia="Calibri" w:hAnsi="Times New Roman" w:cs="Times New Roman"/>
          <w:sz w:val="24"/>
          <w:szCs w:val="24"/>
          <w:lang w:val="en-GB"/>
        </w:rPr>
        <w:t>Tachizawa</w:t>
      </w:r>
      <w:proofErr w:type="spellEnd"/>
      <w:r w:rsidR="00690443">
        <w:rPr>
          <w:rFonts w:ascii="Times New Roman" w:eastAsia="Calibri" w:hAnsi="Times New Roman" w:cs="Times New Roman"/>
          <w:sz w:val="24"/>
          <w:szCs w:val="24"/>
          <w:lang w:val="en-GB"/>
        </w:rPr>
        <w:t xml:space="preserve"> et al., 2015)</w:t>
      </w:r>
      <w:r w:rsidR="00690443">
        <w:rPr>
          <w:rFonts w:ascii="Times New Roman" w:eastAsia="Calibri" w:hAnsi="Times New Roman" w:cs="Times New Roman"/>
          <w:sz w:val="24"/>
          <w:szCs w:val="24"/>
          <w:lang w:val="en-GB"/>
        </w:rPr>
        <w:t>, and relate them to sustainability asymmetries. More specifically, to verify wheth</w:t>
      </w:r>
      <w:r w:rsidR="00690443">
        <w:rPr>
          <w:rFonts w:ascii="Times New Roman" w:eastAsia="Calibri" w:hAnsi="Times New Roman" w:cs="Times New Roman"/>
          <w:sz w:val="24"/>
          <w:szCs w:val="24"/>
          <w:lang w:val="en-GB"/>
        </w:rPr>
        <w:t>er one of the approaches is more affected by such asymmetries and if the results depend on the area of the asymmetry.</w:t>
      </w:r>
    </w:p>
    <w:p w14:paraId="28F8AEB1" w14:textId="7CA60D03" w:rsidR="00446945" w:rsidRDefault="00446945" w:rsidP="00744A91">
      <w:pPr>
        <w:spacing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Lastly, it has been argued that most sustainability problems in supply chains come from the so-called </w:t>
      </w:r>
      <w:r>
        <w:rPr>
          <w:rFonts w:ascii="Times New Roman" w:eastAsia="Calibri" w:hAnsi="Times New Roman" w:cs="Times New Roman"/>
          <w:sz w:val="24"/>
          <w:szCs w:val="24"/>
          <w:lang w:val="en-GB"/>
        </w:rPr>
        <w:t>“lower-tier” suppliers (</w:t>
      </w:r>
      <w:proofErr w:type="spellStart"/>
      <w:r>
        <w:rPr>
          <w:rFonts w:ascii="Times New Roman" w:eastAsia="Calibri" w:hAnsi="Times New Roman" w:cs="Times New Roman"/>
          <w:sz w:val="24"/>
          <w:szCs w:val="24"/>
          <w:lang w:val="en-GB"/>
        </w:rPr>
        <w:t>Villena</w:t>
      </w:r>
      <w:proofErr w:type="spellEnd"/>
      <w:r>
        <w:rPr>
          <w:rFonts w:ascii="Times New Roman" w:eastAsia="Calibri" w:hAnsi="Times New Roman" w:cs="Times New Roman"/>
          <w:sz w:val="24"/>
          <w:szCs w:val="24"/>
          <w:lang w:val="en-GB"/>
        </w:rPr>
        <w:t xml:space="preserve"> and </w:t>
      </w:r>
      <w:proofErr w:type="spellStart"/>
      <w:r>
        <w:rPr>
          <w:rFonts w:ascii="Times New Roman" w:eastAsia="Calibri" w:hAnsi="Times New Roman" w:cs="Times New Roman"/>
          <w:sz w:val="24"/>
          <w:szCs w:val="24"/>
          <w:lang w:val="en-GB"/>
        </w:rPr>
        <w:t>Gioia</w:t>
      </w:r>
      <w:proofErr w:type="spellEnd"/>
      <w:r>
        <w:rPr>
          <w:rFonts w:ascii="Times New Roman" w:eastAsia="Calibri" w:hAnsi="Times New Roman" w:cs="Times New Roman"/>
          <w:sz w:val="24"/>
          <w:szCs w:val="24"/>
          <w:lang w:val="en-GB"/>
        </w:rPr>
        <w:t xml:space="preserve">, 2020). </w:t>
      </w:r>
      <w:r>
        <w:rPr>
          <w:rFonts w:ascii="Times New Roman" w:eastAsia="Calibri" w:hAnsi="Times New Roman" w:cs="Times New Roman"/>
          <w:sz w:val="24"/>
          <w:szCs w:val="24"/>
          <w:lang w:val="en-GB"/>
        </w:rPr>
        <w:t>Nevertheless, th</w:t>
      </w:r>
      <w:r>
        <w:rPr>
          <w:rFonts w:ascii="Times New Roman" w:eastAsia="Calibri" w:hAnsi="Times New Roman" w:cs="Times New Roman"/>
          <w:sz w:val="24"/>
          <w:szCs w:val="24"/>
          <w:lang w:val="en-GB"/>
        </w:rPr>
        <w:t>is study focuses on 1</w:t>
      </w:r>
      <w:r w:rsidRPr="00FF49E5">
        <w:rPr>
          <w:rFonts w:ascii="Times New Roman" w:eastAsia="Calibri" w:hAnsi="Times New Roman" w:cs="Times New Roman"/>
          <w:sz w:val="24"/>
          <w:szCs w:val="24"/>
          <w:vertAlign w:val="superscript"/>
          <w:lang w:val="en-GB"/>
        </w:rPr>
        <w:t>st</w:t>
      </w:r>
      <w:r>
        <w:rPr>
          <w:rFonts w:ascii="Times New Roman" w:eastAsia="Calibri" w:hAnsi="Times New Roman" w:cs="Times New Roman"/>
          <w:sz w:val="24"/>
          <w:szCs w:val="24"/>
          <w:lang w:val="en-GB"/>
        </w:rPr>
        <w:t xml:space="preserve"> tier suppliers. </w:t>
      </w:r>
      <w:r>
        <w:rPr>
          <w:rFonts w:ascii="Times New Roman" w:eastAsia="Calibri" w:hAnsi="Times New Roman" w:cs="Times New Roman"/>
          <w:sz w:val="24"/>
          <w:szCs w:val="24"/>
          <w:lang w:val="en-GB"/>
        </w:rPr>
        <w:t xml:space="preserve">This is </w:t>
      </w:r>
      <w:r>
        <w:rPr>
          <w:rFonts w:ascii="Times New Roman" w:eastAsia="Calibri" w:hAnsi="Times New Roman" w:cs="Times New Roman"/>
          <w:sz w:val="24"/>
          <w:szCs w:val="24"/>
          <w:lang w:val="en-GB"/>
        </w:rPr>
        <w:t xml:space="preserve">an important limitation of this </w:t>
      </w:r>
      <w:r>
        <w:rPr>
          <w:rFonts w:ascii="Times New Roman" w:eastAsia="Calibri" w:hAnsi="Times New Roman" w:cs="Times New Roman"/>
          <w:sz w:val="24"/>
          <w:szCs w:val="24"/>
          <w:lang w:val="en-GB"/>
        </w:rPr>
        <w:t>research</w:t>
      </w:r>
      <w:r>
        <w:rPr>
          <w:rFonts w:ascii="Times New Roman" w:eastAsia="Calibri" w:hAnsi="Times New Roman" w:cs="Times New Roman"/>
          <w:sz w:val="24"/>
          <w:szCs w:val="24"/>
          <w:lang w:val="en-GB"/>
        </w:rPr>
        <w:t xml:space="preserve"> that should be </w:t>
      </w:r>
      <w:r>
        <w:rPr>
          <w:rFonts w:ascii="Times New Roman" w:eastAsia="Calibri" w:hAnsi="Times New Roman" w:cs="Times New Roman"/>
          <w:sz w:val="24"/>
          <w:szCs w:val="24"/>
          <w:lang w:val="en-GB"/>
        </w:rPr>
        <w:t>analysed</w:t>
      </w: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in subsequent studies.</w:t>
      </w:r>
    </w:p>
    <w:p w14:paraId="33388C97" w14:textId="50BED539" w:rsidR="00744A91" w:rsidRDefault="00744A91" w:rsidP="00744A91">
      <w:pPr>
        <w:spacing w:line="480" w:lineRule="auto"/>
        <w:jc w:val="both"/>
        <w:rPr>
          <w:rFonts w:ascii="Times New Roman" w:eastAsia="Calibri" w:hAnsi="Times New Roman" w:cs="Times New Roman"/>
          <w:sz w:val="24"/>
          <w:szCs w:val="24"/>
          <w:lang w:val="en-GB"/>
        </w:rPr>
      </w:pPr>
      <w:r w:rsidRPr="00873B4D">
        <w:rPr>
          <w:rFonts w:ascii="Times New Roman" w:eastAsia="Calibri" w:hAnsi="Times New Roman" w:cs="Times New Roman"/>
          <w:sz w:val="24"/>
          <w:szCs w:val="24"/>
          <w:lang w:val="en-GB"/>
        </w:rPr>
        <w:t xml:space="preserve">Overall, this is a new and exciting </w:t>
      </w:r>
      <w:r>
        <w:rPr>
          <w:rFonts w:ascii="Times New Roman" w:eastAsia="Calibri" w:hAnsi="Times New Roman" w:cs="Times New Roman"/>
          <w:sz w:val="24"/>
          <w:szCs w:val="24"/>
          <w:lang w:val="en-GB"/>
        </w:rPr>
        <w:t>a</w:t>
      </w:r>
      <w:r w:rsidRPr="00873B4D">
        <w:rPr>
          <w:rFonts w:ascii="Times New Roman" w:eastAsia="Calibri" w:hAnsi="Times New Roman" w:cs="Times New Roman"/>
          <w:sz w:val="24"/>
          <w:szCs w:val="24"/>
          <w:lang w:val="en-GB"/>
        </w:rPr>
        <w:t>venue of research that will provide companies</w:t>
      </w:r>
      <w:r w:rsidR="00C94808">
        <w:rPr>
          <w:rFonts w:ascii="Times New Roman" w:eastAsia="Calibri" w:hAnsi="Times New Roman" w:cs="Times New Roman"/>
          <w:sz w:val="24"/>
          <w:szCs w:val="24"/>
          <w:lang w:val="en-GB"/>
        </w:rPr>
        <w:t xml:space="preserve"> and policy-makers</w:t>
      </w:r>
      <w:r w:rsidRPr="00873B4D">
        <w:rPr>
          <w:rFonts w:ascii="Times New Roman" w:eastAsia="Calibri" w:hAnsi="Times New Roman" w:cs="Times New Roman"/>
          <w:sz w:val="24"/>
          <w:szCs w:val="24"/>
          <w:lang w:val="en-GB"/>
        </w:rPr>
        <w:t xml:space="preserve"> with insights </w:t>
      </w:r>
      <w:r>
        <w:rPr>
          <w:rFonts w:ascii="Times New Roman" w:eastAsia="Calibri" w:hAnsi="Times New Roman" w:cs="Times New Roman"/>
          <w:sz w:val="24"/>
          <w:szCs w:val="24"/>
          <w:lang w:val="en-GB"/>
        </w:rPr>
        <w:t xml:space="preserve">on </w:t>
      </w:r>
      <w:r w:rsidRPr="00873B4D">
        <w:rPr>
          <w:rFonts w:ascii="Times New Roman" w:eastAsia="Calibri" w:hAnsi="Times New Roman" w:cs="Times New Roman"/>
          <w:sz w:val="24"/>
          <w:szCs w:val="24"/>
          <w:lang w:val="en-GB"/>
        </w:rPr>
        <w:t xml:space="preserve">how to better plan their sustainability </w:t>
      </w:r>
      <w:r>
        <w:rPr>
          <w:rFonts w:ascii="Times New Roman" w:eastAsia="Calibri" w:hAnsi="Times New Roman" w:cs="Times New Roman"/>
          <w:sz w:val="24"/>
          <w:szCs w:val="24"/>
          <w:lang w:val="en-GB"/>
        </w:rPr>
        <w:t>approaches accordingly with the norms, values and beliefs embedded in the society,</w:t>
      </w:r>
      <w:r w:rsidRPr="00873B4D">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and thus work together to</w:t>
      </w:r>
      <w:r w:rsidRPr="00873B4D">
        <w:rPr>
          <w:rFonts w:ascii="Times New Roman" w:eastAsia="Calibri" w:hAnsi="Times New Roman" w:cs="Times New Roman"/>
          <w:sz w:val="24"/>
          <w:szCs w:val="24"/>
          <w:lang w:val="en-GB"/>
        </w:rPr>
        <w:t xml:space="preserve"> facilitate the transition to a more sustainable economy.</w:t>
      </w:r>
    </w:p>
    <w:p w14:paraId="68465C03" w14:textId="474D322A" w:rsidR="00235A95" w:rsidRDefault="00235A95" w:rsidP="004270F7">
      <w:pPr>
        <w:spacing w:line="480" w:lineRule="auto"/>
        <w:jc w:val="both"/>
        <w:rPr>
          <w:rFonts w:ascii="Times New Roman" w:eastAsia="Calibri" w:hAnsi="Times New Roman" w:cs="Times New Roman"/>
          <w:sz w:val="24"/>
          <w:szCs w:val="24"/>
          <w:lang w:val="en-GB"/>
        </w:rPr>
      </w:pPr>
    </w:p>
    <w:p w14:paraId="6E44DCE4" w14:textId="77777777" w:rsidR="007C3FC3" w:rsidRDefault="007C3FC3" w:rsidP="007C3FC3">
      <w:pPr>
        <w:spacing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R</w:t>
      </w:r>
      <w:r w:rsidR="004270F7">
        <w:rPr>
          <w:rFonts w:ascii="Times New Roman" w:eastAsia="Calibri" w:hAnsi="Times New Roman" w:cs="Times New Roman"/>
          <w:b/>
          <w:sz w:val="24"/>
          <w:szCs w:val="24"/>
          <w:lang w:val="en-GB"/>
        </w:rPr>
        <w:t>EFERENCES</w:t>
      </w:r>
    </w:p>
    <w:p w14:paraId="60FF6604" w14:textId="3433B64C"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Ahmed, M.U., Shafiq, A., 2022. Toward sustainable supply chains: impact of buyer’s legitimacy, power and aligned focus on supplier sustainability performance. Int. J.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Prod.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42, 280–303.</w:t>
      </w:r>
      <w:r w:rsidR="0067052F">
        <w:rPr>
          <w:rFonts w:ascii="Times New Roman" w:hAnsi="Times New Roman" w:cs="Times New Roman"/>
          <w:sz w:val="24"/>
          <w:szCs w:val="24"/>
          <w:lang w:val="en-US"/>
        </w:rPr>
        <w:t xml:space="preserve"> </w:t>
      </w:r>
      <w:r w:rsidRPr="0085413C">
        <w:rPr>
          <w:rFonts w:ascii="Times New Roman" w:hAnsi="Times New Roman" w:cs="Times New Roman"/>
          <w:sz w:val="24"/>
          <w:szCs w:val="24"/>
          <w:lang w:val="en-US"/>
        </w:rPr>
        <w:t>https://doi.org/10.1108/IJOPM-08-2021-0540</w:t>
      </w:r>
    </w:p>
    <w:p w14:paraId="40F99B38"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Awan, U., </w:t>
      </w:r>
      <w:proofErr w:type="spellStart"/>
      <w:r w:rsidRPr="0085413C">
        <w:rPr>
          <w:rFonts w:ascii="Times New Roman" w:hAnsi="Times New Roman" w:cs="Times New Roman"/>
          <w:sz w:val="24"/>
          <w:szCs w:val="24"/>
          <w:lang w:val="en-US"/>
        </w:rPr>
        <w:t>Bhutta</w:t>
      </w:r>
      <w:proofErr w:type="spellEnd"/>
      <w:r w:rsidRPr="0085413C">
        <w:rPr>
          <w:rFonts w:ascii="Times New Roman" w:hAnsi="Times New Roman" w:cs="Times New Roman"/>
          <w:sz w:val="24"/>
          <w:szCs w:val="24"/>
          <w:lang w:val="en-US"/>
        </w:rPr>
        <w:t xml:space="preserve">, M. K. S., </w:t>
      </w:r>
      <w:proofErr w:type="spellStart"/>
      <w:r w:rsidRPr="0085413C">
        <w:rPr>
          <w:rFonts w:ascii="Times New Roman" w:hAnsi="Times New Roman" w:cs="Times New Roman"/>
          <w:sz w:val="24"/>
          <w:szCs w:val="24"/>
          <w:lang w:val="en-US"/>
        </w:rPr>
        <w:t>Huiskonen</w:t>
      </w:r>
      <w:proofErr w:type="spellEnd"/>
      <w:r w:rsidRPr="0085413C">
        <w:rPr>
          <w:rFonts w:ascii="Times New Roman" w:hAnsi="Times New Roman" w:cs="Times New Roman"/>
          <w:sz w:val="24"/>
          <w:szCs w:val="24"/>
          <w:lang w:val="en-US"/>
        </w:rPr>
        <w:t xml:space="preserve">, J., </w:t>
      </w:r>
      <w:proofErr w:type="spellStart"/>
      <w:r w:rsidRPr="0085413C">
        <w:rPr>
          <w:rFonts w:ascii="Times New Roman" w:hAnsi="Times New Roman" w:cs="Times New Roman"/>
          <w:sz w:val="24"/>
          <w:szCs w:val="24"/>
          <w:lang w:val="en-US"/>
        </w:rPr>
        <w:t>Kraslawski</w:t>
      </w:r>
      <w:proofErr w:type="spellEnd"/>
      <w:r w:rsidRPr="0085413C">
        <w:rPr>
          <w:rFonts w:ascii="Times New Roman" w:hAnsi="Times New Roman" w:cs="Times New Roman"/>
          <w:sz w:val="24"/>
          <w:szCs w:val="24"/>
          <w:lang w:val="en-US"/>
        </w:rPr>
        <w:t>, A. 2021. Deployment of sustainable development framework in export manufacturing firms for the common good. In Integrating Social Responsibility and Sustainable Development. Springer, 133-150.</w:t>
      </w:r>
    </w:p>
    <w:p w14:paraId="074F8DEF" w14:textId="3EE558E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Awan, U., </w:t>
      </w:r>
      <w:proofErr w:type="spellStart"/>
      <w:r w:rsidRPr="0085413C">
        <w:rPr>
          <w:rFonts w:ascii="Times New Roman" w:hAnsi="Times New Roman" w:cs="Times New Roman"/>
          <w:sz w:val="24"/>
          <w:szCs w:val="24"/>
          <w:lang w:val="en-US"/>
        </w:rPr>
        <w:t>Khattak</w:t>
      </w:r>
      <w:proofErr w:type="spellEnd"/>
      <w:r w:rsidRPr="0085413C">
        <w:rPr>
          <w:rFonts w:ascii="Times New Roman" w:hAnsi="Times New Roman" w:cs="Times New Roman"/>
          <w:sz w:val="24"/>
          <w:szCs w:val="24"/>
          <w:lang w:val="en-US"/>
        </w:rPr>
        <w:t xml:space="preserve">, A., Rabbani, S., </w:t>
      </w:r>
      <w:proofErr w:type="spellStart"/>
      <w:r w:rsidRPr="0085413C">
        <w:rPr>
          <w:rFonts w:ascii="Times New Roman" w:hAnsi="Times New Roman" w:cs="Times New Roman"/>
          <w:sz w:val="24"/>
          <w:szCs w:val="24"/>
          <w:lang w:val="en-US"/>
        </w:rPr>
        <w:t>Dhir</w:t>
      </w:r>
      <w:proofErr w:type="spellEnd"/>
      <w:r w:rsidRPr="0085413C">
        <w:rPr>
          <w:rFonts w:ascii="Times New Roman" w:hAnsi="Times New Roman" w:cs="Times New Roman"/>
          <w:sz w:val="24"/>
          <w:szCs w:val="24"/>
          <w:lang w:val="en-US"/>
        </w:rPr>
        <w:t>, A., 2020. Buyer-Driven Knowledge Transfer Activities to Enhance Organizational Sustainability of Suppliers. Sustainability 12, 2993. https://doi.org/10.3390/su12072993</w:t>
      </w:r>
    </w:p>
    <w:p w14:paraId="1204C03A"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lastRenderedPageBreak/>
        <w:t xml:space="preserve">Awan, U., </w:t>
      </w:r>
      <w:proofErr w:type="spellStart"/>
      <w:r w:rsidRPr="0085413C">
        <w:rPr>
          <w:rFonts w:ascii="Times New Roman" w:hAnsi="Times New Roman" w:cs="Times New Roman"/>
          <w:sz w:val="24"/>
          <w:szCs w:val="24"/>
          <w:lang w:val="en-US"/>
        </w:rPr>
        <w:t>Kraslawski</w:t>
      </w:r>
      <w:proofErr w:type="spellEnd"/>
      <w:r w:rsidRPr="0085413C">
        <w:rPr>
          <w:rFonts w:ascii="Times New Roman" w:hAnsi="Times New Roman" w:cs="Times New Roman"/>
          <w:sz w:val="24"/>
          <w:szCs w:val="24"/>
          <w:lang w:val="en-US"/>
        </w:rPr>
        <w:t xml:space="preserve">, A., </w:t>
      </w:r>
      <w:proofErr w:type="spellStart"/>
      <w:r w:rsidRPr="0085413C">
        <w:rPr>
          <w:rFonts w:ascii="Times New Roman" w:hAnsi="Times New Roman" w:cs="Times New Roman"/>
          <w:sz w:val="24"/>
          <w:szCs w:val="24"/>
          <w:lang w:val="en-US"/>
        </w:rPr>
        <w:t>Huiskonen</w:t>
      </w:r>
      <w:proofErr w:type="spellEnd"/>
      <w:r w:rsidRPr="0085413C">
        <w:rPr>
          <w:rFonts w:ascii="Times New Roman" w:hAnsi="Times New Roman" w:cs="Times New Roman"/>
          <w:sz w:val="24"/>
          <w:szCs w:val="24"/>
          <w:lang w:val="en-US"/>
        </w:rPr>
        <w:t>, J., 2018. Governing Interfirm Relationships for Social Sustainability: The Relationship between Governance Mechanisms, Sustainable Collaboration, and Cultural Intelligence. Sustainability 10, 4473. https://doi.org/10.3390/su10124473</w:t>
      </w:r>
    </w:p>
    <w:p w14:paraId="5B4F1F99"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Awan, U., </w:t>
      </w:r>
      <w:proofErr w:type="spellStart"/>
      <w:r w:rsidRPr="0085413C">
        <w:rPr>
          <w:rFonts w:ascii="Times New Roman" w:hAnsi="Times New Roman" w:cs="Times New Roman"/>
          <w:sz w:val="24"/>
          <w:szCs w:val="24"/>
          <w:lang w:val="en-US"/>
        </w:rPr>
        <w:t>Sroufe</w:t>
      </w:r>
      <w:proofErr w:type="spellEnd"/>
      <w:r w:rsidRPr="0085413C">
        <w:rPr>
          <w:rFonts w:ascii="Times New Roman" w:hAnsi="Times New Roman" w:cs="Times New Roman"/>
          <w:sz w:val="24"/>
          <w:szCs w:val="24"/>
          <w:lang w:val="en-US"/>
        </w:rPr>
        <w:t xml:space="preserve">, R., 2020. </w:t>
      </w:r>
      <w:proofErr w:type="spellStart"/>
      <w:r w:rsidRPr="0085413C">
        <w:rPr>
          <w:rFonts w:ascii="Times New Roman" w:hAnsi="Times New Roman" w:cs="Times New Roman"/>
          <w:sz w:val="24"/>
          <w:szCs w:val="24"/>
          <w:lang w:val="en-US"/>
        </w:rPr>
        <w:t>Interorganisational</w:t>
      </w:r>
      <w:proofErr w:type="spellEnd"/>
      <w:r w:rsidRPr="0085413C">
        <w:rPr>
          <w:rFonts w:ascii="Times New Roman" w:hAnsi="Times New Roman" w:cs="Times New Roman"/>
          <w:sz w:val="24"/>
          <w:szCs w:val="24"/>
          <w:lang w:val="en-US"/>
        </w:rPr>
        <w:t xml:space="preserve"> collaboration for innovation improvement in manufacturing </w:t>
      </w:r>
      <w:proofErr w:type="spellStart"/>
      <w:r w:rsidRPr="0085413C">
        <w:rPr>
          <w:rFonts w:ascii="Times New Roman" w:hAnsi="Times New Roman" w:cs="Times New Roman"/>
          <w:sz w:val="24"/>
          <w:szCs w:val="24"/>
          <w:lang w:val="en-US"/>
        </w:rPr>
        <w:t>firms’s</w:t>
      </w:r>
      <w:proofErr w:type="spellEnd"/>
      <w:r w:rsidRPr="0085413C">
        <w:rPr>
          <w:rFonts w:ascii="Times New Roman" w:hAnsi="Times New Roman" w:cs="Times New Roman"/>
          <w:sz w:val="24"/>
          <w:szCs w:val="24"/>
          <w:lang w:val="en-US"/>
        </w:rPr>
        <w:t xml:space="preserve">: the mediating role of social performance. Int. J. </w:t>
      </w:r>
      <w:proofErr w:type="spellStart"/>
      <w:r w:rsidRPr="0085413C">
        <w:rPr>
          <w:rFonts w:ascii="Times New Roman" w:hAnsi="Times New Roman" w:cs="Times New Roman"/>
          <w:sz w:val="24"/>
          <w:szCs w:val="24"/>
          <w:lang w:val="en-US"/>
        </w:rPr>
        <w:t>Innov</w:t>
      </w:r>
      <w:proofErr w:type="spellEnd"/>
      <w:r w:rsidRPr="0085413C">
        <w:rPr>
          <w:rFonts w:ascii="Times New Roman" w:hAnsi="Times New Roman" w:cs="Times New Roman"/>
          <w:sz w:val="24"/>
          <w:szCs w:val="24"/>
          <w:lang w:val="en-US"/>
        </w:rPr>
        <w:t>. Mgt. 24, 2050049. https://doi.org/10.1142/S1363919620500498</w:t>
      </w:r>
    </w:p>
    <w:p w14:paraId="057C2912"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Awan, U., </w:t>
      </w:r>
      <w:proofErr w:type="spellStart"/>
      <w:r w:rsidRPr="0085413C">
        <w:rPr>
          <w:rFonts w:ascii="Times New Roman" w:hAnsi="Times New Roman" w:cs="Times New Roman"/>
          <w:sz w:val="24"/>
          <w:szCs w:val="24"/>
          <w:lang w:val="en-US"/>
        </w:rPr>
        <w:t>Sroufe</w:t>
      </w:r>
      <w:proofErr w:type="spellEnd"/>
      <w:r w:rsidRPr="0085413C">
        <w:rPr>
          <w:rFonts w:ascii="Times New Roman" w:hAnsi="Times New Roman" w:cs="Times New Roman"/>
          <w:sz w:val="24"/>
          <w:szCs w:val="24"/>
          <w:lang w:val="en-US"/>
        </w:rPr>
        <w:t>, R. 2022. Sustainability in the circular economy: Insights and dynamics of designing circular business models. Applied Sciences, 12(3), 1521.</w:t>
      </w:r>
    </w:p>
    <w:p w14:paraId="07404E04"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Bansal, P., </w:t>
      </w:r>
      <w:proofErr w:type="spellStart"/>
      <w:r w:rsidRPr="0085413C">
        <w:rPr>
          <w:rFonts w:ascii="Times New Roman" w:hAnsi="Times New Roman" w:cs="Times New Roman"/>
          <w:sz w:val="24"/>
          <w:szCs w:val="24"/>
          <w:lang w:val="en-US"/>
        </w:rPr>
        <w:t>Clelland</w:t>
      </w:r>
      <w:proofErr w:type="spellEnd"/>
      <w:r w:rsidRPr="0085413C">
        <w:rPr>
          <w:rFonts w:ascii="Times New Roman" w:hAnsi="Times New Roman" w:cs="Times New Roman"/>
          <w:sz w:val="24"/>
          <w:szCs w:val="24"/>
          <w:lang w:val="en-US"/>
        </w:rPr>
        <w:t xml:space="preserve">, I., 2004. Talking Trash: Legitimacy, Impression Management, and Unsystematic Risk in the Context of the Natural Environment. Acad.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J. 47, 93–103. https://doi.org/10.5465/20159562</w:t>
      </w:r>
    </w:p>
    <w:p w14:paraId="48FDA4F4"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Basta</w:t>
      </w:r>
      <w:proofErr w:type="spellEnd"/>
      <w:r w:rsidRPr="0085413C">
        <w:rPr>
          <w:rFonts w:ascii="Times New Roman" w:hAnsi="Times New Roman" w:cs="Times New Roman"/>
          <w:sz w:val="24"/>
          <w:szCs w:val="24"/>
          <w:lang w:val="en-US"/>
        </w:rPr>
        <w:t xml:space="preserve">, M., Lapalme, J., Paquet, M., Saint-Louis, P., </w:t>
      </w:r>
      <w:proofErr w:type="spellStart"/>
      <w:r w:rsidRPr="0085413C">
        <w:rPr>
          <w:rFonts w:ascii="Times New Roman" w:hAnsi="Times New Roman" w:cs="Times New Roman"/>
          <w:sz w:val="24"/>
          <w:szCs w:val="24"/>
          <w:lang w:val="en-US"/>
        </w:rPr>
        <w:t>Zwaida</w:t>
      </w:r>
      <w:proofErr w:type="spellEnd"/>
      <w:r w:rsidRPr="0085413C">
        <w:rPr>
          <w:rFonts w:ascii="Times New Roman" w:hAnsi="Times New Roman" w:cs="Times New Roman"/>
          <w:sz w:val="24"/>
          <w:szCs w:val="24"/>
          <w:lang w:val="en-US"/>
        </w:rPr>
        <w:t xml:space="preserve">, T.A., 2018. How are supply chains addressing their social responsibility dilemmas? Review of the last decade and a half. Corp. Soc. </w:t>
      </w:r>
      <w:proofErr w:type="spellStart"/>
      <w:r w:rsidRPr="0085413C">
        <w:rPr>
          <w:rFonts w:ascii="Times New Roman" w:hAnsi="Times New Roman" w:cs="Times New Roman"/>
          <w:sz w:val="24"/>
          <w:szCs w:val="24"/>
          <w:lang w:val="en-US"/>
        </w:rPr>
        <w:t>Responsib</w:t>
      </w:r>
      <w:proofErr w:type="spellEnd"/>
      <w:r w:rsidRPr="0085413C">
        <w:rPr>
          <w:rFonts w:ascii="Times New Roman" w:hAnsi="Times New Roman" w:cs="Times New Roman"/>
          <w:sz w:val="24"/>
          <w:szCs w:val="24"/>
          <w:lang w:val="en-US"/>
        </w:rPr>
        <w:t xml:space="preserve">. Environ.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25, 833–843. https://doi.org/10.1002/csr.1500</w:t>
      </w:r>
    </w:p>
    <w:p w14:paraId="45ADF2A4"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Bastas</w:t>
      </w:r>
      <w:proofErr w:type="spellEnd"/>
      <w:r w:rsidRPr="0085413C">
        <w:rPr>
          <w:rFonts w:ascii="Times New Roman" w:hAnsi="Times New Roman" w:cs="Times New Roman"/>
          <w:sz w:val="24"/>
          <w:szCs w:val="24"/>
          <w:lang w:val="en-US"/>
        </w:rPr>
        <w:t xml:space="preserve">, A., </w:t>
      </w:r>
      <w:proofErr w:type="spellStart"/>
      <w:r w:rsidRPr="0085413C">
        <w:rPr>
          <w:rFonts w:ascii="Times New Roman" w:hAnsi="Times New Roman" w:cs="Times New Roman"/>
          <w:sz w:val="24"/>
          <w:szCs w:val="24"/>
          <w:lang w:val="en-US"/>
        </w:rPr>
        <w:t>Liyanage</w:t>
      </w:r>
      <w:proofErr w:type="spellEnd"/>
      <w:r w:rsidRPr="0085413C">
        <w:rPr>
          <w:rFonts w:ascii="Times New Roman" w:hAnsi="Times New Roman" w:cs="Times New Roman"/>
          <w:sz w:val="24"/>
          <w:szCs w:val="24"/>
          <w:lang w:val="en-US"/>
        </w:rPr>
        <w:t>, K., 2018. Sustainable supply chain quality management: A systematic review. J. Clean. Prod. 181, 726–744. https://doi.org/10.1016/j.jclepro.2018.01.110</w:t>
      </w:r>
    </w:p>
    <w:p w14:paraId="3D425ACA"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Beck, N., Katz, J.N., 1995. What </w:t>
      </w:r>
      <w:proofErr w:type="gramStart"/>
      <w:r w:rsidRPr="0085413C">
        <w:rPr>
          <w:rFonts w:ascii="Times New Roman" w:hAnsi="Times New Roman" w:cs="Times New Roman"/>
          <w:sz w:val="24"/>
          <w:szCs w:val="24"/>
          <w:lang w:val="en-US"/>
        </w:rPr>
        <w:t>To</w:t>
      </w:r>
      <w:proofErr w:type="gramEnd"/>
      <w:r w:rsidRPr="0085413C">
        <w:rPr>
          <w:rFonts w:ascii="Times New Roman" w:hAnsi="Times New Roman" w:cs="Times New Roman"/>
          <w:sz w:val="24"/>
          <w:szCs w:val="24"/>
          <w:lang w:val="en-US"/>
        </w:rPr>
        <w:t xml:space="preserve"> Do (and Not to Do) with Time-Series Cross-Section Data. Am. Polit. Sci. Rev. 89, 634–647. https://doi.org/10.2307/2082979</w:t>
      </w:r>
    </w:p>
    <w:p w14:paraId="35A1CFB9"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Blome</w:t>
      </w:r>
      <w:proofErr w:type="spellEnd"/>
      <w:r w:rsidRPr="0085413C">
        <w:rPr>
          <w:rFonts w:ascii="Times New Roman" w:hAnsi="Times New Roman" w:cs="Times New Roman"/>
          <w:sz w:val="24"/>
          <w:szCs w:val="24"/>
          <w:lang w:val="en-US"/>
        </w:rPr>
        <w:t xml:space="preserve">, C., </w:t>
      </w:r>
      <w:proofErr w:type="spellStart"/>
      <w:r w:rsidRPr="0085413C">
        <w:rPr>
          <w:rFonts w:ascii="Times New Roman" w:hAnsi="Times New Roman" w:cs="Times New Roman"/>
          <w:sz w:val="24"/>
          <w:szCs w:val="24"/>
          <w:lang w:val="en-US"/>
        </w:rPr>
        <w:t>Paulraj</w:t>
      </w:r>
      <w:proofErr w:type="spellEnd"/>
      <w:r w:rsidRPr="0085413C">
        <w:rPr>
          <w:rFonts w:ascii="Times New Roman" w:hAnsi="Times New Roman" w:cs="Times New Roman"/>
          <w:sz w:val="24"/>
          <w:szCs w:val="24"/>
          <w:lang w:val="en-US"/>
        </w:rPr>
        <w:t xml:space="preserve">, A., Schuetz, K., 2014. Supply chain collaboration and sustainability: a profile deviation analysis. Int. J.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Prod.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34, 639–663. https://doi.org/10.1108/IJOPM-11-2012-0515</w:t>
      </w:r>
    </w:p>
    <w:p w14:paraId="1BAACBF8"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Brito, R.P., Miguel, P.L.S., 2017. Power, Governance, and Value in Collaboration: Differences between Buyer and Supplier Perspectives. J. Supply Chain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53, 61–87. https://doi.org/10.1111/jscm.12134</w:t>
      </w:r>
    </w:p>
    <w:p w14:paraId="025FA1D2" w14:textId="77777777" w:rsidR="001D6522" w:rsidRPr="001D6522"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Brockhaus, S., Petersen, M., </w:t>
      </w:r>
      <w:proofErr w:type="spellStart"/>
      <w:r w:rsidRPr="0085413C">
        <w:rPr>
          <w:rFonts w:ascii="Times New Roman" w:hAnsi="Times New Roman" w:cs="Times New Roman"/>
          <w:sz w:val="24"/>
          <w:szCs w:val="24"/>
          <w:lang w:val="en-US"/>
        </w:rPr>
        <w:t>Knemeyer</w:t>
      </w:r>
      <w:proofErr w:type="spellEnd"/>
      <w:r w:rsidRPr="0085413C">
        <w:rPr>
          <w:rFonts w:ascii="Times New Roman" w:hAnsi="Times New Roman" w:cs="Times New Roman"/>
          <w:sz w:val="24"/>
          <w:szCs w:val="24"/>
          <w:lang w:val="en-US"/>
        </w:rPr>
        <w:t xml:space="preserve">, A.M., 2019. The fallacy of “trickle-down” product sustainability: Translating strategic sustainability targets into product development efforts. Int. J.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Prod.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39, 1166–1190. https://doi.org/10.1108/IJOPM-03-2019-0181</w:t>
      </w:r>
    </w:p>
    <w:p w14:paraId="29CF95A9"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1D6522">
        <w:rPr>
          <w:rFonts w:ascii="Times New Roman" w:hAnsi="Times New Roman" w:cs="Times New Roman"/>
          <w:sz w:val="24"/>
          <w:szCs w:val="24"/>
          <w:lang w:val="en-US"/>
        </w:rPr>
        <w:t>Brønn</w:t>
      </w:r>
      <w:proofErr w:type="spellEnd"/>
      <w:r w:rsidRPr="001D6522">
        <w:rPr>
          <w:rFonts w:ascii="Times New Roman" w:hAnsi="Times New Roman" w:cs="Times New Roman"/>
          <w:sz w:val="24"/>
          <w:szCs w:val="24"/>
          <w:lang w:val="en-US"/>
        </w:rPr>
        <w:t xml:space="preserve">, P.S., </w:t>
      </w:r>
      <w:proofErr w:type="spellStart"/>
      <w:r w:rsidRPr="001D6522">
        <w:rPr>
          <w:rFonts w:ascii="Times New Roman" w:hAnsi="Times New Roman" w:cs="Times New Roman"/>
          <w:sz w:val="24"/>
          <w:szCs w:val="24"/>
          <w:lang w:val="en-US"/>
        </w:rPr>
        <w:t>Vidaver</w:t>
      </w:r>
      <w:proofErr w:type="spellEnd"/>
      <w:r w:rsidRPr="001D6522">
        <w:rPr>
          <w:rFonts w:ascii="Times New Roman" w:hAnsi="Times New Roman" w:cs="Times New Roman"/>
          <w:sz w:val="24"/>
          <w:szCs w:val="24"/>
          <w:lang w:val="en-US"/>
        </w:rPr>
        <w:t xml:space="preserve">-Cohen, D., 2009. </w:t>
      </w:r>
      <w:r w:rsidRPr="0085413C">
        <w:rPr>
          <w:rFonts w:ascii="Times New Roman" w:hAnsi="Times New Roman" w:cs="Times New Roman"/>
          <w:sz w:val="24"/>
          <w:szCs w:val="24"/>
          <w:lang w:val="en-US"/>
        </w:rPr>
        <w:t>Corporate Motives for Social Initiative: Legitimacy, Sustainability, or the Bottom Line? J. Bus. Ethics 87, 91–109. https://doi.org/10.1007/s10551-008-9795-z</w:t>
      </w:r>
    </w:p>
    <w:p w14:paraId="1BAD39DC" w14:textId="77777777" w:rsidR="001D6522" w:rsidRPr="001D6522" w:rsidRDefault="001D6522" w:rsidP="0067052F">
      <w:pPr>
        <w:pStyle w:val="Bibliografa"/>
        <w:spacing w:line="276" w:lineRule="auto"/>
        <w:jc w:val="both"/>
        <w:rPr>
          <w:rFonts w:ascii="Times New Roman" w:hAnsi="Times New Roman" w:cs="Times New Roman"/>
          <w:sz w:val="24"/>
          <w:szCs w:val="24"/>
        </w:rPr>
      </w:pPr>
      <w:r w:rsidRPr="0085413C">
        <w:rPr>
          <w:rFonts w:ascii="Times New Roman" w:hAnsi="Times New Roman" w:cs="Times New Roman"/>
          <w:sz w:val="24"/>
          <w:szCs w:val="24"/>
          <w:lang w:val="en-US"/>
        </w:rPr>
        <w:t xml:space="preserve">Brown, A.D., 1998. Narrative, Politics and Legitimacy in an IT Implementation. </w:t>
      </w:r>
      <w:r w:rsidRPr="001D6522">
        <w:rPr>
          <w:rFonts w:ascii="Times New Roman" w:hAnsi="Times New Roman" w:cs="Times New Roman"/>
          <w:sz w:val="24"/>
          <w:szCs w:val="24"/>
        </w:rPr>
        <w:t xml:space="preserve">J. </w:t>
      </w:r>
      <w:proofErr w:type="spellStart"/>
      <w:r w:rsidRPr="001D6522">
        <w:rPr>
          <w:rFonts w:ascii="Times New Roman" w:hAnsi="Times New Roman" w:cs="Times New Roman"/>
          <w:sz w:val="24"/>
          <w:szCs w:val="24"/>
        </w:rPr>
        <w:t>Manag</w:t>
      </w:r>
      <w:proofErr w:type="spellEnd"/>
      <w:r w:rsidRPr="001D6522">
        <w:rPr>
          <w:rFonts w:ascii="Times New Roman" w:hAnsi="Times New Roman" w:cs="Times New Roman"/>
          <w:sz w:val="24"/>
          <w:szCs w:val="24"/>
        </w:rPr>
        <w:t xml:space="preserve">. </w:t>
      </w:r>
      <w:proofErr w:type="spellStart"/>
      <w:r w:rsidRPr="001D6522">
        <w:rPr>
          <w:rFonts w:ascii="Times New Roman" w:hAnsi="Times New Roman" w:cs="Times New Roman"/>
          <w:sz w:val="24"/>
          <w:szCs w:val="24"/>
        </w:rPr>
        <w:t>Stud</w:t>
      </w:r>
      <w:proofErr w:type="spellEnd"/>
      <w:r w:rsidRPr="001D6522">
        <w:rPr>
          <w:rFonts w:ascii="Times New Roman" w:hAnsi="Times New Roman" w:cs="Times New Roman"/>
          <w:sz w:val="24"/>
          <w:szCs w:val="24"/>
        </w:rPr>
        <w:t>. 35, 35–58. https://doi.org/10.1111/1467-6486.00083</w:t>
      </w:r>
    </w:p>
    <w:p w14:paraId="5F915FA6"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rPr>
        <w:t>Bossle</w:t>
      </w:r>
      <w:proofErr w:type="spellEnd"/>
      <w:r w:rsidRPr="0085413C">
        <w:rPr>
          <w:rFonts w:ascii="Times New Roman" w:hAnsi="Times New Roman" w:cs="Times New Roman"/>
          <w:sz w:val="24"/>
          <w:szCs w:val="24"/>
        </w:rPr>
        <w:t xml:space="preserve">, M.B., </w:t>
      </w:r>
      <w:proofErr w:type="spellStart"/>
      <w:r w:rsidRPr="0085413C">
        <w:rPr>
          <w:rFonts w:ascii="Times New Roman" w:hAnsi="Times New Roman" w:cs="Times New Roman"/>
          <w:sz w:val="24"/>
          <w:szCs w:val="24"/>
        </w:rPr>
        <w:t>Dutra</w:t>
      </w:r>
      <w:proofErr w:type="spellEnd"/>
      <w:r w:rsidRPr="0085413C">
        <w:rPr>
          <w:rFonts w:ascii="Times New Roman" w:hAnsi="Times New Roman" w:cs="Times New Roman"/>
          <w:sz w:val="24"/>
          <w:szCs w:val="24"/>
        </w:rPr>
        <w:t xml:space="preserve"> de </w:t>
      </w:r>
      <w:proofErr w:type="spellStart"/>
      <w:r w:rsidRPr="0085413C">
        <w:rPr>
          <w:rFonts w:ascii="Times New Roman" w:hAnsi="Times New Roman" w:cs="Times New Roman"/>
          <w:sz w:val="24"/>
          <w:szCs w:val="24"/>
        </w:rPr>
        <w:t>Barcellos</w:t>
      </w:r>
      <w:proofErr w:type="spellEnd"/>
      <w:r w:rsidRPr="0085413C">
        <w:rPr>
          <w:rFonts w:ascii="Times New Roman" w:hAnsi="Times New Roman" w:cs="Times New Roman"/>
          <w:sz w:val="24"/>
          <w:szCs w:val="24"/>
        </w:rPr>
        <w:t xml:space="preserve">, M., Vieira, L.M., </w:t>
      </w:r>
      <w:proofErr w:type="spellStart"/>
      <w:r w:rsidRPr="0085413C">
        <w:rPr>
          <w:rFonts w:ascii="Times New Roman" w:hAnsi="Times New Roman" w:cs="Times New Roman"/>
          <w:sz w:val="24"/>
          <w:szCs w:val="24"/>
        </w:rPr>
        <w:t>Sauvée</w:t>
      </w:r>
      <w:proofErr w:type="spellEnd"/>
      <w:r w:rsidRPr="0085413C">
        <w:rPr>
          <w:rFonts w:ascii="Times New Roman" w:hAnsi="Times New Roman" w:cs="Times New Roman"/>
          <w:sz w:val="24"/>
          <w:szCs w:val="24"/>
        </w:rPr>
        <w:t xml:space="preserve">, L., 2016. </w:t>
      </w:r>
      <w:r w:rsidRPr="0085413C">
        <w:rPr>
          <w:rFonts w:ascii="Times New Roman" w:hAnsi="Times New Roman" w:cs="Times New Roman"/>
          <w:sz w:val="24"/>
          <w:szCs w:val="24"/>
          <w:lang w:val="en-US"/>
        </w:rPr>
        <w:t>The drivers for adoption of eco-innovation. J. Clean. Prod. 113, 861–872. https://doi.org/10.1016/j.jclepro.2015.11.033</w:t>
      </w:r>
    </w:p>
    <w:p w14:paraId="670F3C05"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Bubicz</w:t>
      </w:r>
      <w:proofErr w:type="spellEnd"/>
      <w:r w:rsidRPr="0085413C">
        <w:rPr>
          <w:rFonts w:ascii="Times New Roman" w:hAnsi="Times New Roman" w:cs="Times New Roman"/>
          <w:sz w:val="24"/>
          <w:szCs w:val="24"/>
          <w:lang w:val="en-US"/>
        </w:rPr>
        <w:t>, M.E., Barbosa-</w:t>
      </w:r>
      <w:proofErr w:type="spellStart"/>
      <w:r w:rsidRPr="0085413C">
        <w:rPr>
          <w:rFonts w:ascii="Times New Roman" w:hAnsi="Times New Roman" w:cs="Times New Roman"/>
          <w:sz w:val="24"/>
          <w:szCs w:val="24"/>
          <w:lang w:val="en-US"/>
        </w:rPr>
        <w:t>Póvoa</w:t>
      </w:r>
      <w:proofErr w:type="spellEnd"/>
      <w:r w:rsidRPr="0085413C">
        <w:rPr>
          <w:rFonts w:ascii="Times New Roman" w:hAnsi="Times New Roman" w:cs="Times New Roman"/>
          <w:sz w:val="24"/>
          <w:szCs w:val="24"/>
          <w:lang w:val="en-US"/>
        </w:rPr>
        <w:t>, A.P.F.D., Carvalho, A., 2019. Incorporating social aspects in sustainable supply chains: Trends and future directions. J. Clean. Prod. 237, 117500. https://doi.org/10.1016/j.jclepro.2019.06.331</w:t>
      </w:r>
    </w:p>
    <w:p w14:paraId="4E7E680D"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lastRenderedPageBreak/>
        <w:t>Business Insider. 2022.</w:t>
      </w:r>
      <w:r w:rsidRPr="0085413C">
        <w:rPr>
          <w:lang w:val="en-US"/>
        </w:rPr>
        <w:t xml:space="preserve"> </w:t>
      </w:r>
      <w:r w:rsidRPr="0085413C">
        <w:rPr>
          <w:rFonts w:ascii="Times New Roman" w:hAnsi="Times New Roman" w:cs="Times New Roman"/>
          <w:sz w:val="24"/>
          <w:szCs w:val="24"/>
          <w:lang w:val="en-US"/>
        </w:rPr>
        <w:t xml:space="preserve">Ikea has come under fire over allegations it's eating up ancient forests in Romania. https://www.businessinsider.com/ikea-romania-forests-deforestation-allegations-environment-report-2022-2, retrieved 13 </w:t>
      </w:r>
      <w:proofErr w:type="spellStart"/>
      <w:r w:rsidRPr="0085413C">
        <w:rPr>
          <w:rFonts w:ascii="Times New Roman" w:hAnsi="Times New Roman" w:cs="Times New Roman"/>
          <w:sz w:val="24"/>
          <w:szCs w:val="24"/>
          <w:lang w:val="en-US"/>
        </w:rPr>
        <w:t>june</w:t>
      </w:r>
      <w:proofErr w:type="spellEnd"/>
      <w:r w:rsidRPr="0085413C">
        <w:rPr>
          <w:rFonts w:ascii="Times New Roman" w:hAnsi="Times New Roman" w:cs="Times New Roman"/>
          <w:sz w:val="24"/>
          <w:szCs w:val="24"/>
          <w:lang w:val="en-US"/>
        </w:rPr>
        <w:t xml:space="preserve"> 2022. </w:t>
      </w:r>
    </w:p>
    <w:p w14:paraId="626AAB90"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Busse</w:t>
      </w:r>
      <w:proofErr w:type="spellEnd"/>
      <w:r w:rsidRPr="0085413C">
        <w:rPr>
          <w:rFonts w:ascii="Times New Roman" w:hAnsi="Times New Roman" w:cs="Times New Roman"/>
          <w:sz w:val="24"/>
          <w:szCs w:val="24"/>
          <w:lang w:val="en-US"/>
        </w:rPr>
        <w:t xml:space="preserve">, C., 2016. Doing Well by Doing Good? The Self-interest of Buying Firms and Sustainable Supply Chain Management. J. Supply Chain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52, 28–47. https://doi.org/10.1111/jscm.12096</w:t>
      </w:r>
    </w:p>
    <w:p w14:paraId="3144A248"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Busse</w:t>
      </w:r>
      <w:proofErr w:type="spellEnd"/>
      <w:r w:rsidRPr="0085413C">
        <w:rPr>
          <w:rFonts w:ascii="Times New Roman" w:hAnsi="Times New Roman" w:cs="Times New Roman"/>
          <w:sz w:val="24"/>
          <w:szCs w:val="24"/>
          <w:lang w:val="en-US"/>
        </w:rPr>
        <w:t xml:space="preserve">, C., </w:t>
      </w:r>
      <w:proofErr w:type="spellStart"/>
      <w:r w:rsidRPr="0085413C">
        <w:rPr>
          <w:rFonts w:ascii="Times New Roman" w:hAnsi="Times New Roman" w:cs="Times New Roman"/>
          <w:sz w:val="24"/>
          <w:szCs w:val="24"/>
          <w:lang w:val="en-US"/>
        </w:rPr>
        <w:t>Kach</w:t>
      </w:r>
      <w:proofErr w:type="spellEnd"/>
      <w:r w:rsidRPr="0085413C">
        <w:rPr>
          <w:rFonts w:ascii="Times New Roman" w:hAnsi="Times New Roman" w:cs="Times New Roman"/>
          <w:sz w:val="24"/>
          <w:szCs w:val="24"/>
          <w:lang w:val="en-US"/>
        </w:rPr>
        <w:t xml:space="preserve">, A.P., Bode, C., 2016. Sustainability and the False Sense of Legitimacy: How Institutional Distance Augments Risk in Global Supply Chains. J. Bus. </w:t>
      </w:r>
      <w:proofErr w:type="spellStart"/>
      <w:r w:rsidRPr="0085413C">
        <w:rPr>
          <w:rFonts w:ascii="Times New Roman" w:hAnsi="Times New Roman" w:cs="Times New Roman"/>
          <w:sz w:val="24"/>
          <w:szCs w:val="24"/>
          <w:lang w:val="en-US"/>
        </w:rPr>
        <w:t>Logist</w:t>
      </w:r>
      <w:proofErr w:type="spellEnd"/>
      <w:r w:rsidRPr="0085413C">
        <w:rPr>
          <w:rFonts w:ascii="Times New Roman" w:hAnsi="Times New Roman" w:cs="Times New Roman"/>
          <w:sz w:val="24"/>
          <w:szCs w:val="24"/>
          <w:lang w:val="en-US"/>
        </w:rPr>
        <w:t>. 37, 312–328. https://doi.org/10.1111/jbl.12143</w:t>
      </w:r>
    </w:p>
    <w:p w14:paraId="31127E5F"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Czinkota</w:t>
      </w:r>
      <w:proofErr w:type="spellEnd"/>
      <w:r w:rsidRPr="0085413C">
        <w:rPr>
          <w:rFonts w:ascii="Times New Roman" w:hAnsi="Times New Roman" w:cs="Times New Roman"/>
          <w:sz w:val="24"/>
          <w:szCs w:val="24"/>
          <w:lang w:val="en-US"/>
        </w:rPr>
        <w:t xml:space="preserve">, M., Kaufmann, H.R., Basile, G., 2014. The relationship between legitimacy, reputation, sustainability and branding for companies and their supply chains. Ind. Market.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43, 91–101. https://doi.org/10.1016/j.indmarman.2013.10.005</w:t>
      </w:r>
    </w:p>
    <w:p w14:paraId="27FFCE8B" w14:textId="7F9060D8"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Dabhilkar</w:t>
      </w:r>
      <w:proofErr w:type="spellEnd"/>
      <w:r w:rsidRPr="0085413C">
        <w:rPr>
          <w:rFonts w:ascii="Times New Roman" w:hAnsi="Times New Roman" w:cs="Times New Roman"/>
          <w:sz w:val="24"/>
          <w:szCs w:val="24"/>
          <w:lang w:val="en-US"/>
        </w:rPr>
        <w:t xml:space="preserve">, M., Bengtsson, L., </w:t>
      </w:r>
      <w:proofErr w:type="spellStart"/>
      <w:r w:rsidRPr="0085413C">
        <w:rPr>
          <w:rFonts w:ascii="Times New Roman" w:hAnsi="Times New Roman" w:cs="Times New Roman"/>
          <w:sz w:val="24"/>
          <w:szCs w:val="24"/>
          <w:lang w:val="en-US"/>
        </w:rPr>
        <w:t>Lakemond</w:t>
      </w:r>
      <w:proofErr w:type="spellEnd"/>
      <w:r w:rsidRPr="0085413C">
        <w:rPr>
          <w:rFonts w:ascii="Times New Roman" w:hAnsi="Times New Roman" w:cs="Times New Roman"/>
          <w:sz w:val="24"/>
          <w:szCs w:val="24"/>
          <w:lang w:val="en-US"/>
        </w:rPr>
        <w:t xml:space="preserve">, N., 2016. Sustainable supply management as a purchasing capability: A power and dependence perspective. Int. J.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Prod.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36, 2–22. https://doi.org/10.1108/IJOPM-12-2014-0609</w:t>
      </w:r>
    </w:p>
    <w:p w14:paraId="1BA37A99"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EPA, 2018. Emerging Trends in Supply Chain Emissions Engagement.</w:t>
      </w:r>
    </w:p>
    <w:p w14:paraId="69A2F9B9" w14:textId="77777777" w:rsidR="001D6522" w:rsidRPr="0085413C" w:rsidRDefault="001D6522" w:rsidP="0067052F">
      <w:pPr>
        <w:pStyle w:val="Bibliografa"/>
        <w:spacing w:line="276" w:lineRule="auto"/>
        <w:jc w:val="both"/>
        <w:rPr>
          <w:rFonts w:ascii="Times New Roman" w:hAnsi="Times New Roman" w:cs="Times New Roman"/>
          <w:sz w:val="24"/>
          <w:szCs w:val="24"/>
        </w:rPr>
      </w:pPr>
      <w:proofErr w:type="spellStart"/>
      <w:r w:rsidRPr="0085413C">
        <w:rPr>
          <w:rFonts w:ascii="Times New Roman" w:hAnsi="Times New Roman" w:cs="Times New Roman"/>
          <w:sz w:val="24"/>
          <w:szCs w:val="24"/>
          <w:lang w:val="en-US"/>
        </w:rPr>
        <w:t>Frempong</w:t>
      </w:r>
      <w:proofErr w:type="spellEnd"/>
      <w:r w:rsidRPr="0085413C">
        <w:rPr>
          <w:rFonts w:ascii="Times New Roman" w:hAnsi="Times New Roman" w:cs="Times New Roman"/>
          <w:sz w:val="24"/>
          <w:szCs w:val="24"/>
          <w:lang w:val="en-US"/>
        </w:rPr>
        <w:t xml:space="preserve">, M.F., Mu, Y., </w:t>
      </w:r>
      <w:proofErr w:type="spellStart"/>
      <w:r w:rsidRPr="0085413C">
        <w:rPr>
          <w:rFonts w:ascii="Times New Roman" w:hAnsi="Times New Roman" w:cs="Times New Roman"/>
          <w:sz w:val="24"/>
          <w:szCs w:val="24"/>
          <w:lang w:val="en-US"/>
        </w:rPr>
        <w:t>Adu</w:t>
      </w:r>
      <w:proofErr w:type="spellEnd"/>
      <w:r w:rsidRPr="0085413C">
        <w:rPr>
          <w:rFonts w:ascii="Times New Roman" w:hAnsi="Times New Roman" w:cs="Times New Roman"/>
          <w:sz w:val="24"/>
          <w:szCs w:val="24"/>
          <w:lang w:val="en-US"/>
        </w:rPr>
        <w:t xml:space="preserve">-Yeboah, S.S., </w:t>
      </w:r>
      <w:proofErr w:type="spellStart"/>
      <w:r w:rsidRPr="0085413C">
        <w:rPr>
          <w:rFonts w:ascii="Times New Roman" w:hAnsi="Times New Roman" w:cs="Times New Roman"/>
          <w:sz w:val="24"/>
          <w:szCs w:val="24"/>
          <w:lang w:val="en-US"/>
        </w:rPr>
        <w:t>Hossin</w:t>
      </w:r>
      <w:proofErr w:type="spellEnd"/>
      <w:r w:rsidRPr="0085413C">
        <w:rPr>
          <w:rFonts w:ascii="Times New Roman" w:hAnsi="Times New Roman" w:cs="Times New Roman"/>
          <w:sz w:val="24"/>
          <w:szCs w:val="24"/>
          <w:lang w:val="en-US"/>
        </w:rPr>
        <w:t xml:space="preserve">, M.A., Adu-Gyamfi, M., 2021. Corporate Sustainability and Firm Performance: The Role of Green Innovation Capabilities and Sustainability-Oriented Supplier–Buyer Relationship. </w:t>
      </w:r>
      <w:proofErr w:type="spellStart"/>
      <w:r w:rsidRPr="0085413C">
        <w:rPr>
          <w:rFonts w:ascii="Times New Roman" w:hAnsi="Times New Roman" w:cs="Times New Roman"/>
          <w:sz w:val="24"/>
          <w:szCs w:val="24"/>
        </w:rPr>
        <w:t>Sustainability</w:t>
      </w:r>
      <w:proofErr w:type="spellEnd"/>
      <w:r w:rsidRPr="0085413C">
        <w:rPr>
          <w:rFonts w:ascii="Times New Roman" w:hAnsi="Times New Roman" w:cs="Times New Roman"/>
          <w:sz w:val="24"/>
          <w:szCs w:val="24"/>
        </w:rPr>
        <w:t xml:space="preserve"> 13, 10414. https://doi.org/10.3390/su131810414</w:t>
      </w:r>
    </w:p>
    <w:p w14:paraId="2C532C9D"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rPr>
        <w:t xml:space="preserve">García-Meca, E., Martínez-Ferrero, J., 2021. </w:t>
      </w:r>
      <w:r w:rsidRPr="0085413C">
        <w:rPr>
          <w:rFonts w:ascii="Times New Roman" w:hAnsi="Times New Roman" w:cs="Times New Roman"/>
          <w:sz w:val="24"/>
          <w:szCs w:val="24"/>
          <w:lang w:val="en-US"/>
        </w:rPr>
        <w:t>Is SDG reporting substantial or symbolic? An examination of controversial and environmentally sensitive industries. J. Clean. Prod. 298, 126781. https://doi.org/10.1016/j.jclepro.2021.126781</w:t>
      </w:r>
    </w:p>
    <w:p w14:paraId="0DE346EC"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Godfrey, P.C., Hatch, N.W., 2007. Researching Corporate Social Responsibility: An Agenda for the 21st Century. J. Bus. Ethics 70, 87–98. https://doi.org/10.1007/s10551-006-9080-y</w:t>
      </w:r>
    </w:p>
    <w:p w14:paraId="632494F0"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Green, K.W., </w:t>
      </w:r>
      <w:proofErr w:type="spellStart"/>
      <w:r w:rsidRPr="0085413C">
        <w:rPr>
          <w:rFonts w:ascii="Times New Roman" w:hAnsi="Times New Roman" w:cs="Times New Roman"/>
          <w:sz w:val="24"/>
          <w:szCs w:val="24"/>
          <w:lang w:val="en-US"/>
        </w:rPr>
        <w:t>Zelbst</w:t>
      </w:r>
      <w:proofErr w:type="spellEnd"/>
      <w:r w:rsidRPr="0085413C">
        <w:rPr>
          <w:rFonts w:ascii="Times New Roman" w:hAnsi="Times New Roman" w:cs="Times New Roman"/>
          <w:sz w:val="24"/>
          <w:szCs w:val="24"/>
          <w:lang w:val="en-US"/>
        </w:rPr>
        <w:t xml:space="preserve">, P.J., Meacham, J., </w:t>
      </w:r>
      <w:proofErr w:type="spellStart"/>
      <w:r w:rsidRPr="0085413C">
        <w:rPr>
          <w:rFonts w:ascii="Times New Roman" w:hAnsi="Times New Roman" w:cs="Times New Roman"/>
          <w:sz w:val="24"/>
          <w:szCs w:val="24"/>
          <w:lang w:val="en-US"/>
        </w:rPr>
        <w:t>Bhadauria</w:t>
      </w:r>
      <w:proofErr w:type="spellEnd"/>
      <w:r w:rsidRPr="0085413C">
        <w:rPr>
          <w:rFonts w:ascii="Times New Roman" w:hAnsi="Times New Roman" w:cs="Times New Roman"/>
          <w:sz w:val="24"/>
          <w:szCs w:val="24"/>
          <w:lang w:val="en-US"/>
        </w:rPr>
        <w:t xml:space="preserve">, V.S., 2012. Green supply chain management practices: impact on performance. Supply Chain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Int. J. 17, 290–305. https://doi.org/10.1108/13598541211227126</w:t>
      </w:r>
    </w:p>
    <w:p w14:paraId="0D72A6CA"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Grosvold</w:t>
      </w:r>
      <w:proofErr w:type="spellEnd"/>
      <w:r w:rsidRPr="0085413C">
        <w:rPr>
          <w:rFonts w:ascii="Times New Roman" w:hAnsi="Times New Roman" w:cs="Times New Roman"/>
          <w:sz w:val="24"/>
          <w:szCs w:val="24"/>
          <w:lang w:val="en-US"/>
        </w:rPr>
        <w:t xml:space="preserve">, J., U. </w:t>
      </w:r>
      <w:proofErr w:type="spellStart"/>
      <w:r w:rsidRPr="0085413C">
        <w:rPr>
          <w:rFonts w:ascii="Times New Roman" w:hAnsi="Times New Roman" w:cs="Times New Roman"/>
          <w:sz w:val="24"/>
          <w:szCs w:val="24"/>
          <w:lang w:val="en-US"/>
        </w:rPr>
        <w:t>Hoejmose</w:t>
      </w:r>
      <w:proofErr w:type="spellEnd"/>
      <w:r w:rsidRPr="0085413C">
        <w:rPr>
          <w:rFonts w:ascii="Times New Roman" w:hAnsi="Times New Roman" w:cs="Times New Roman"/>
          <w:sz w:val="24"/>
          <w:szCs w:val="24"/>
          <w:lang w:val="en-US"/>
        </w:rPr>
        <w:t xml:space="preserve">, S., K. </w:t>
      </w:r>
      <w:proofErr w:type="spellStart"/>
      <w:r w:rsidRPr="0085413C">
        <w:rPr>
          <w:rFonts w:ascii="Times New Roman" w:hAnsi="Times New Roman" w:cs="Times New Roman"/>
          <w:sz w:val="24"/>
          <w:szCs w:val="24"/>
          <w:lang w:val="en-US"/>
        </w:rPr>
        <w:t>Roehrich</w:t>
      </w:r>
      <w:proofErr w:type="spellEnd"/>
      <w:r w:rsidRPr="0085413C">
        <w:rPr>
          <w:rFonts w:ascii="Times New Roman" w:hAnsi="Times New Roman" w:cs="Times New Roman"/>
          <w:sz w:val="24"/>
          <w:szCs w:val="24"/>
          <w:lang w:val="en-US"/>
        </w:rPr>
        <w:t xml:space="preserve">, J., 2014. Squaring the circle: Management, measurement and performance of sustainability in supply chains. Supply Chain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Int. J. 19, 292–305. https://doi.org/10.1108/SCM-12-2013-0440</w:t>
      </w:r>
    </w:p>
    <w:p w14:paraId="02754092"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Guo, R., Lee, H.L., Swinney, R., 2015. Responsible Sourcing in Supply Chains.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Sci. 62, 2722–2744. https://doi.org/10.1287/mnsc.2015.2256</w:t>
      </w:r>
    </w:p>
    <w:p w14:paraId="673AC274"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Hao, Z., Goh, M., Jiao, J., Liu, C. 2022 (forthcoming). Buyer-supplier dyad on performance and sustainability. J. Manuf. Technol.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https://doi.org/10.1108/JMTM-06-2021-0215.</w:t>
      </w:r>
    </w:p>
    <w:p w14:paraId="5442DCCB"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Huo</w:t>
      </w:r>
      <w:proofErr w:type="spellEnd"/>
      <w:r w:rsidRPr="0085413C">
        <w:rPr>
          <w:rFonts w:ascii="Times New Roman" w:hAnsi="Times New Roman" w:cs="Times New Roman"/>
          <w:sz w:val="24"/>
          <w:szCs w:val="24"/>
          <w:lang w:val="en-US"/>
        </w:rPr>
        <w:t>, B., Gu, M., Wang, Z., 2019. Green or lean? A supply chain approach to sustainable performance. J. Clean. Prod. 216, 152–166. https://doi.org/10.1016/j.jclepro.2019.01.141</w:t>
      </w:r>
    </w:p>
    <w:p w14:paraId="241D43DF"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Jacobs, B.W., Singhal, V.R., 2017. The effect of the Rana Plaza disaster on shareholder wealth of retailers: Implications for sourcing strategies and supply chain governance. J.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49–51, 52–66. https://doi.org/10.1016/j.jom.2017.01.002</w:t>
      </w:r>
    </w:p>
    <w:p w14:paraId="11C1799D"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lastRenderedPageBreak/>
        <w:t xml:space="preserve">Jia, M., Stevenson, M., Hendry, L.C., 2021. The boundary-spanning role of first-tier suppliers in sustainability-oriented supplier development initiatives. Int. J.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Prod.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xml:space="preserve"> 41, 1633–1659. https://doi.org/10.1108/IJOPM-12-2020-0856</w:t>
      </w:r>
    </w:p>
    <w:p w14:paraId="466326F8" w14:textId="77777777" w:rsidR="001D6522" w:rsidRPr="001D6522"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Kim, Y., Choi, T.Y., 2018. Tie Strength and Value Creation in the Buyer-Supplier Context: A U-Shaped Relation Moderated by Dependence Asymmetry. </w:t>
      </w:r>
      <w:r w:rsidRPr="001D6522">
        <w:rPr>
          <w:rFonts w:ascii="Times New Roman" w:hAnsi="Times New Roman" w:cs="Times New Roman"/>
          <w:sz w:val="24"/>
          <w:szCs w:val="24"/>
          <w:lang w:val="en-US"/>
        </w:rPr>
        <w:t xml:space="preserve">J. </w:t>
      </w:r>
      <w:proofErr w:type="spellStart"/>
      <w:r w:rsidRPr="001D6522">
        <w:rPr>
          <w:rFonts w:ascii="Times New Roman" w:hAnsi="Times New Roman" w:cs="Times New Roman"/>
          <w:sz w:val="24"/>
          <w:szCs w:val="24"/>
          <w:lang w:val="en-US"/>
        </w:rPr>
        <w:t>Manag</w:t>
      </w:r>
      <w:proofErr w:type="spellEnd"/>
      <w:r w:rsidRPr="001D6522">
        <w:rPr>
          <w:rFonts w:ascii="Times New Roman" w:hAnsi="Times New Roman" w:cs="Times New Roman"/>
          <w:sz w:val="24"/>
          <w:szCs w:val="24"/>
          <w:lang w:val="en-US"/>
        </w:rPr>
        <w:t>. 44, 1029–1064. https://doi.org/10.1177/0149206315599214</w:t>
      </w:r>
    </w:p>
    <w:p w14:paraId="64DAD501" w14:textId="77777777" w:rsidR="001D6522" w:rsidRPr="0085413C" w:rsidRDefault="001D6522" w:rsidP="0067052F">
      <w:pPr>
        <w:pStyle w:val="Bibliografa"/>
        <w:spacing w:line="276" w:lineRule="auto"/>
        <w:jc w:val="both"/>
        <w:rPr>
          <w:rFonts w:ascii="Times New Roman" w:hAnsi="Times New Roman" w:cs="Times New Roman"/>
          <w:sz w:val="24"/>
          <w:szCs w:val="24"/>
        </w:rPr>
      </w:pPr>
      <w:r w:rsidRPr="0085413C">
        <w:rPr>
          <w:rFonts w:ascii="Times New Roman" w:hAnsi="Times New Roman" w:cs="Times New Roman"/>
          <w:sz w:val="24"/>
          <w:szCs w:val="24"/>
          <w:lang w:val="en-US"/>
        </w:rPr>
        <w:t xml:space="preserve">Kumar, N., Scheer, L.K., Steenkamp, J.-B.E.M., 1998. Interdependence, Punitive Capability, and the Reciprocation of Punitive Actions in Channel Relationships. </w:t>
      </w:r>
      <w:r w:rsidRPr="0085413C">
        <w:rPr>
          <w:rFonts w:ascii="Times New Roman" w:hAnsi="Times New Roman" w:cs="Times New Roman"/>
          <w:sz w:val="24"/>
          <w:szCs w:val="24"/>
        </w:rPr>
        <w:t>J. Mark. Res. 35, 225–235. https://doi.org/10.1177/002224379803500208</w:t>
      </w:r>
    </w:p>
    <w:p w14:paraId="3A2A6A32"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rPr>
        <w:t xml:space="preserve">León-Bravo, V., </w:t>
      </w:r>
      <w:proofErr w:type="spellStart"/>
      <w:r w:rsidRPr="0085413C">
        <w:rPr>
          <w:rFonts w:ascii="Times New Roman" w:hAnsi="Times New Roman" w:cs="Times New Roman"/>
          <w:sz w:val="24"/>
          <w:szCs w:val="24"/>
        </w:rPr>
        <w:t>Caniato</w:t>
      </w:r>
      <w:proofErr w:type="spellEnd"/>
      <w:r w:rsidRPr="0085413C">
        <w:rPr>
          <w:rFonts w:ascii="Times New Roman" w:hAnsi="Times New Roman" w:cs="Times New Roman"/>
          <w:sz w:val="24"/>
          <w:szCs w:val="24"/>
        </w:rPr>
        <w:t xml:space="preserve">, F., </w:t>
      </w:r>
      <w:proofErr w:type="spellStart"/>
      <w:r w:rsidRPr="0085413C">
        <w:rPr>
          <w:rFonts w:ascii="Times New Roman" w:hAnsi="Times New Roman" w:cs="Times New Roman"/>
          <w:sz w:val="24"/>
          <w:szCs w:val="24"/>
        </w:rPr>
        <w:t>Caridi</w:t>
      </w:r>
      <w:proofErr w:type="spellEnd"/>
      <w:r w:rsidRPr="0085413C">
        <w:rPr>
          <w:rFonts w:ascii="Times New Roman" w:hAnsi="Times New Roman" w:cs="Times New Roman"/>
          <w:sz w:val="24"/>
          <w:szCs w:val="24"/>
        </w:rPr>
        <w:t xml:space="preserve">, M. 2021. </w:t>
      </w:r>
      <w:r w:rsidRPr="0085413C">
        <w:rPr>
          <w:rFonts w:ascii="Times New Roman" w:hAnsi="Times New Roman" w:cs="Times New Roman"/>
          <w:sz w:val="24"/>
          <w:szCs w:val="24"/>
          <w:lang w:val="en-US"/>
        </w:rPr>
        <w:t>Sustainability assessment in the food supply chain: study of a certified product in Italy. Prod. Plan. Control, 32, 567-584. https://doi.org/10.1080/09537287.2020.1744761</w:t>
      </w:r>
    </w:p>
    <w:p w14:paraId="0838CA0C"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López, C., Ruiz-Benítez, R., 2020. Multilayer analysis of supply chain strategies’ impact on sustainability. J. Purch. Supply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26, 100535. https://doi.org/10.1016/j.pursup.2019.04.003</w:t>
      </w:r>
    </w:p>
    <w:p w14:paraId="05ABE596"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Meqdadi</w:t>
      </w:r>
      <w:proofErr w:type="spellEnd"/>
      <w:r w:rsidRPr="0085413C">
        <w:rPr>
          <w:rFonts w:ascii="Times New Roman" w:hAnsi="Times New Roman" w:cs="Times New Roman"/>
          <w:sz w:val="24"/>
          <w:szCs w:val="24"/>
          <w:lang w:val="en-US"/>
        </w:rPr>
        <w:t>, O.A., Johnsen, T.E., Johnsen, R.E., 2019. Power and Diffusion of Sustainability in Supply Networks: Findings from Four In-Depth Case Studies. J. Bus. Ethics 159, 1089–1110. https://doi.org/10.1007/s10551-018-3835-0</w:t>
      </w:r>
    </w:p>
    <w:p w14:paraId="2E9359F3"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Meyer, J.W., Rowan, B., 1977. Institutionalized Organizations: Formal Structure as Myth and Ceremony. Am. J. </w:t>
      </w:r>
      <w:proofErr w:type="spellStart"/>
      <w:r w:rsidRPr="0085413C">
        <w:rPr>
          <w:rFonts w:ascii="Times New Roman" w:hAnsi="Times New Roman" w:cs="Times New Roman"/>
          <w:sz w:val="24"/>
          <w:szCs w:val="24"/>
          <w:lang w:val="en-US"/>
        </w:rPr>
        <w:t>Sociol</w:t>
      </w:r>
      <w:proofErr w:type="spellEnd"/>
      <w:r w:rsidRPr="0085413C">
        <w:rPr>
          <w:rFonts w:ascii="Times New Roman" w:hAnsi="Times New Roman" w:cs="Times New Roman"/>
          <w:sz w:val="24"/>
          <w:szCs w:val="24"/>
          <w:lang w:val="en-US"/>
        </w:rPr>
        <w:t xml:space="preserve"> 83, 340–363. https://doi.org/10.1086/226550</w:t>
      </w:r>
    </w:p>
    <w:p w14:paraId="65EE8A6E" w14:textId="77777777" w:rsidR="001D6522" w:rsidRPr="001D6522" w:rsidRDefault="001D6522" w:rsidP="0067052F">
      <w:pPr>
        <w:pStyle w:val="Bibliografa"/>
        <w:spacing w:line="276" w:lineRule="auto"/>
        <w:jc w:val="both"/>
        <w:rPr>
          <w:rFonts w:ascii="Times New Roman" w:hAnsi="Times New Roman" w:cs="Times New Roman"/>
          <w:sz w:val="24"/>
          <w:szCs w:val="24"/>
        </w:rPr>
      </w:pPr>
      <w:proofErr w:type="spellStart"/>
      <w:r w:rsidRPr="0085413C">
        <w:rPr>
          <w:rFonts w:ascii="Times New Roman" w:hAnsi="Times New Roman" w:cs="Times New Roman"/>
          <w:sz w:val="24"/>
          <w:szCs w:val="24"/>
          <w:lang w:val="en-US"/>
        </w:rPr>
        <w:t>Meynhardt</w:t>
      </w:r>
      <w:proofErr w:type="spellEnd"/>
      <w:r w:rsidRPr="0085413C">
        <w:rPr>
          <w:rFonts w:ascii="Times New Roman" w:hAnsi="Times New Roman" w:cs="Times New Roman"/>
          <w:sz w:val="24"/>
          <w:szCs w:val="24"/>
          <w:lang w:val="en-US"/>
        </w:rPr>
        <w:t xml:space="preserve">, T., Gomez, P., 2019. Building Blocks for Alternative Four-Dimensional Pyramids of Corporate Social Responsibilities. </w:t>
      </w:r>
      <w:r w:rsidRPr="001D6522">
        <w:rPr>
          <w:rFonts w:ascii="Times New Roman" w:hAnsi="Times New Roman" w:cs="Times New Roman"/>
          <w:sz w:val="24"/>
          <w:szCs w:val="24"/>
        </w:rPr>
        <w:t>Bus. Soc. 58, 404–438. https://doi.org/10.1177/0007650316650444</w:t>
      </w:r>
    </w:p>
    <w:p w14:paraId="0B417EEC"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rPr>
        <w:t>Macchion</w:t>
      </w:r>
      <w:proofErr w:type="spellEnd"/>
      <w:r w:rsidRPr="0085413C">
        <w:rPr>
          <w:rFonts w:ascii="Times New Roman" w:hAnsi="Times New Roman" w:cs="Times New Roman"/>
          <w:sz w:val="24"/>
          <w:szCs w:val="24"/>
        </w:rPr>
        <w:t xml:space="preserve">, L., Da </w:t>
      </w:r>
      <w:proofErr w:type="spellStart"/>
      <w:r w:rsidRPr="0085413C">
        <w:rPr>
          <w:rFonts w:ascii="Times New Roman" w:hAnsi="Times New Roman" w:cs="Times New Roman"/>
          <w:sz w:val="24"/>
          <w:szCs w:val="24"/>
        </w:rPr>
        <w:t>Giau</w:t>
      </w:r>
      <w:proofErr w:type="spellEnd"/>
      <w:r w:rsidRPr="0085413C">
        <w:rPr>
          <w:rFonts w:ascii="Times New Roman" w:hAnsi="Times New Roman" w:cs="Times New Roman"/>
          <w:sz w:val="24"/>
          <w:szCs w:val="24"/>
        </w:rPr>
        <w:t xml:space="preserve">, A., </w:t>
      </w:r>
      <w:proofErr w:type="spellStart"/>
      <w:r w:rsidRPr="0085413C">
        <w:rPr>
          <w:rFonts w:ascii="Times New Roman" w:hAnsi="Times New Roman" w:cs="Times New Roman"/>
          <w:sz w:val="24"/>
          <w:szCs w:val="24"/>
        </w:rPr>
        <w:t>Caniato</w:t>
      </w:r>
      <w:proofErr w:type="spellEnd"/>
      <w:r w:rsidRPr="0085413C">
        <w:rPr>
          <w:rFonts w:ascii="Times New Roman" w:hAnsi="Times New Roman" w:cs="Times New Roman"/>
          <w:sz w:val="24"/>
          <w:szCs w:val="24"/>
        </w:rPr>
        <w:t xml:space="preserve">, F., </w:t>
      </w:r>
      <w:proofErr w:type="spellStart"/>
      <w:r w:rsidRPr="0085413C">
        <w:rPr>
          <w:rFonts w:ascii="Times New Roman" w:hAnsi="Times New Roman" w:cs="Times New Roman"/>
          <w:sz w:val="24"/>
          <w:szCs w:val="24"/>
        </w:rPr>
        <w:t>Caridi</w:t>
      </w:r>
      <w:proofErr w:type="spellEnd"/>
      <w:r w:rsidRPr="0085413C">
        <w:rPr>
          <w:rFonts w:ascii="Times New Roman" w:hAnsi="Times New Roman" w:cs="Times New Roman"/>
          <w:sz w:val="24"/>
          <w:szCs w:val="24"/>
        </w:rPr>
        <w:t xml:space="preserve">, M., </w:t>
      </w:r>
      <w:proofErr w:type="spellStart"/>
      <w:r w:rsidRPr="0085413C">
        <w:rPr>
          <w:rFonts w:ascii="Times New Roman" w:hAnsi="Times New Roman" w:cs="Times New Roman"/>
          <w:sz w:val="24"/>
          <w:szCs w:val="24"/>
        </w:rPr>
        <w:t>Danese</w:t>
      </w:r>
      <w:proofErr w:type="spellEnd"/>
      <w:r w:rsidRPr="0085413C">
        <w:rPr>
          <w:rFonts w:ascii="Times New Roman" w:hAnsi="Times New Roman" w:cs="Times New Roman"/>
          <w:sz w:val="24"/>
          <w:szCs w:val="24"/>
        </w:rPr>
        <w:t xml:space="preserve">, P., Rinaldi, R., Vinelli, A., 2018. </w:t>
      </w:r>
      <w:r w:rsidRPr="0085413C">
        <w:rPr>
          <w:rFonts w:ascii="Times New Roman" w:hAnsi="Times New Roman" w:cs="Times New Roman"/>
          <w:sz w:val="24"/>
          <w:szCs w:val="24"/>
          <w:lang w:val="en-US"/>
        </w:rPr>
        <w:t>Strategic approaches to sustainability in fashion supply chain management. Prod. Plan. Control 29, 9–28. https://doi.org/10.1080/09537287.2017.1374485</w:t>
      </w:r>
    </w:p>
    <w:p w14:paraId="6AAED8DB"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Nyaga</w:t>
      </w:r>
      <w:proofErr w:type="spellEnd"/>
      <w:r w:rsidRPr="0085413C">
        <w:rPr>
          <w:rFonts w:ascii="Times New Roman" w:hAnsi="Times New Roman" w:cs="Times New Roman"/>
          <w:sz w:val="24"/>
          <w:szCs w:val="24"/>
          <w:lang w:val="en-US"/>
        </w:rPr>
        <w:t xml:space="preserve">, G.N., Lynch, D.F., Marshall, D., Ambrose, E., 2013. Power Asymmetry, Adaptation and Collaboration in Dyadic Relationships Involving a Powerful Partner. J. Supply Chain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49, 42–65. https://doi.org/10.1111/jscm.12011</w:t>
      </w:r>
    </w:p>
    <w:p w14:paraId="47557DDE" w14:textId="60E030E2"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Pizzetti</w:t>
      </w:r>
      <w:proofErr w:type="spellEnd"/>
      <w:r w:rsidRPr="0085413C">
        <w:rPr>
          <w:rFonts w:ascii="Times New Roman" w:hAnsi="Times New Roman" w:cs="Times New Roman"/>
          <w:sz w:val="24"/>
          <w:szCs w:val="24"/>
          <w:lang w:val="en-US"/>
        </w:rPr>
        <w:t xml:space="preserve">, M., </w:t>
      </w:r>
      <w:proofErr w:type="spellStart"/>
      <w:r w:rsidRPr="0085413C">
        <w:rPr>
          <w:rFonts w:ascii="Times New Roman" w:hAnsi="Times New Roman" w:cs="Times New Roman"/>
          <w:sz w:val="24"/>
          <w:szCs w:val="24"/>
          <w:lang w:val="en-US"/>
        </w:rPr>
        <w:t>Gatti</w:t>
      </w:r>
      <w:proofErr w:type="spellEnd"/>
      <w:r w:rsidRPr="0085413C">
        <w:rPr>
          <w:rFonts w:ascii="Times New Roman" w:hAnsi="Times New Roman" w:cs="Times New Roman"/>
          <w:sz w:val="24"/>
          <w:szCs w:val="24"/>
          <w:lang w:val="en-US"/>
        </w:rPr>
        <w:t xml:space="preserve">, L., </w:t>
      </w:r>
      <w:proofErr w:type="spellStart"/>
      <w:r w:rsidRPr="0085413C">
        <w:rPr>
          <w:rFonts w:ascii="Times New Roman" w:hAnsi="Times New Roman" w:cs="Times New Roman"/>
          <w:sz w:val="24"/>
          <w:szCs w:val="24"/>
          <w:lang w:val="en-US"/>
        </w:rPr>
        <w:t>Seele</w:t>
      </w:r>
      <w:proofErr w:type="spellEnd"/>
      <w:r w:rsidRPr="0085413C">
        <w:rPr>
          <w:rFonts w:ascii="Times New Roman" w:hAnsi="Times New Roman" w:cs="Times New Roman"/>
          <w:sz w:val="24"/>
          <w:szCs w:val="24"/>
          <w:lang w:val="en-US"/>
        </w:rPr>
        <w:t>, P., 2021. Firms Talk, Suppliers Walk: Analyzing the Locus of Greenwashing in the Blame Game and Introducing ‘Vicarious Greenwashing.’ J. Bus. Ethics 170, 21–38. https://doi.org/10.1007/s10551-019-04406-2</w:t>
      </w:r>
    </w:p>
    <w:p w14:paraId="35CA841E"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Quarshie, A.M., </w:t>
      </w:r>
      <w:proofErr w:type="spellStart"/>
      <w:r w:rsidRPr="0085413C">
        <w:rPr>
          <w:rFonts w:ascii="Times New Roman" w:hAnsi="Times New Roman" w:cs="Times New Roman"/>
          <w:sz w:val="24"/>
          <w:szCs w:val="24"/>
          <w:lang w:val="en-US"/>
        </w:rPr>
        <w:t>Salmi</w:t>
      </w:r>
      <w:proofErr w:type="spellEnd"/>
      <w:r w:rsidRPr="0085413C">
        <w:rPr>
          <w:rFonts w:ascii="Times New Roman" w:hAnsi="Times New Roman" w:cs="Times New Roman"/>
          <w:sz w:val="24"/>
          <w:szCs w:val="24"/>
          <w:lang w:val="en-US"/>
        </w:rPr>
        <w:t xml:space="preserve">, A., Leuschner, R., 2016. Sustainability and corporate social responsibility in supply chains: The state of research in supply chain management and business ethics journals. J. Purch. Supply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22, 82–97. https://doi.org/10.1016/j.pursup.2015.11.001</w:t>
      </w:r>
    </w:p>
    <w:p w14:paraId="353B3DE7"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Rao, H., 1994. The Social Construction of Reputation: Certification Contests, Legitimation, and the Survival of Organizations in the American Automobile Industry: 1895-1912. </w:t>
      </w:r>
      <w:proofErr w:type="spellStart"/>
      <w:r w:rsidRPr="0085413C">
        <w:rPr>
          <w:rFonts w:ascii="Times New Roman" w:hAnsi="Times New Roman" w:cs="Times New Roman"/>
          <w:sz w:val="24"/>
          <w:szCs w:val="24"/>
          <w:lang w:val="en-US"/>
        </w:rPr>
        <w:t>Strateg</w:t>
      </w:r>
      <w:proofErr w:type="spellEnd"/>
      <w:r w:rsidRPr="0085413C">
        <w:rPr>
          <w:rFonts w:ascii="Times New Roman" w:hAnsi="Times New Roman" w:cs="Times New Roman"/>
          <w:sz w:val="24"/>
          <w:szCs w:val="24"/>
          <w:lang w:val="en-US"/>
        </w:rPr>
        <w:t xml:space="preserve">.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J. 15, 29–44.</w:t>
      </w:r>
    </w:p>
    <w:p w14:paraId="3CC299F0"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Rauer</w:t>
      </w:r>
      <w:proofErr w:type="spellEnd"/>
      <w:r w:rsidRPr="0085413C">
        <w:rPr>
          <w:rFonts w:ascii="Times New Roman" w:hAnsi="Times New Roman" w:cs="Times New Roman"/>
          <w:sz w:val="24"/>
          <w:szCs w:val="24"/>
          <w:lang w:val="en-US"/>
        </w:rPr>
        <w:t xml:space="preserve">, J., Kaufmann, L., 2015. Mitigating External Barriers to Implementing Green Supply Chain Management: A Grounded Theory Investigation of Green-Tech Companies’ Rare Earth Metals Supply Chains. J. Supply Chain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51, 65–88. https://doi.org/10.1111/jscm.12063</w:t>
      </w:r>
    </w:p>
    <w:p w14:paraId="10986FEC"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lastRenderedPageBreak/>
        <w:t xml:space="preserve">Reuter, C., Goebel, P., </w:t>
      </w:r>
      <w:proofErr w:type="spellStart"/>
      <w:r w:rsidRPr="0085413C">
        <w:rPr>
          <w:rFonts w:ascii="Times New Roman" w:hAnsi="Times New Roman" w:cs="Times New Roman"/>
          <w:sz w:val="24"/>
          <w:szCs w:val="24"/>
          <w:lang w:val="en-US"/>
        </w:rPr>
        <w:t>Foerstl</w:t>
      </w:r>
      <w:proofErr w:type="spellEnd"/>
      <w:r w:rsidRPr="0085413C">
        <w:rPr>
          <w:rFonts w:ascii="Times New Roman" w:hAnsi="Times New Roman" w:cs="Times New Roman"/>
          <w:sz w:val="24"/>
          <w:szCs w:val="24"/>
          <w:lang w:val="en-US"/>
        </w:rPr>
        <w:t xml:space="preserve">, K., 2012. The impact of stakeholder orientation on sustainability and cost prevalence in supplier selection decisions. J. Purch. Supply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18, 270–281. https://doi.org/10.1016/j.pursup.2012.06.004</w:t>
      </w:r>
    </w:p>
    <w:p w14:paraId="430A5B25" w14:textId="1F1B3E4E"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Roehrich</w:t>
      </w:r>
      <w:proofErr w:type="spellEnd"/>
      <w:r w:rsidRPr="0085413C">
        <w:rPr>
          <w:rFonts w:ascii="Times New Roman" w:hAnsi="Times New Roman" w:cs="Times New Roman"/>
          <w:sz w:val="24"/>
          <w:szCs w:val="24"/>
          <w:lang w:val="en-US"/>
        </w:rPr>
        <w:t xml:space="preserve">, J.K., </w:t>
      </w:r>
      <w:proofErr w:type="spellStart"/>
      <w:r w:rsidRPr="0085413C">
        <w:rPr>
          <w:rFonts w:ascii="Times New Roman" w:hAnsi="Times New Roman" w:cs="Times New Roman"/>
          <w:sz w:val="24"/>
          <w:szCs w:val="24"/>
          <w:lang w:val="en-US"/>
        </w:rPr>
        <w:t>Grosvold</w:t>
      </w:r>
      <w:proofErr w:type="spellEnd"/>
      <w:r w:rsidRPr="0085413C">
        <w:rPr>
          <w:rFonts w:ascii="Times New Roman" w:hAnsi="Times New Roman" w:cs="Times New Roman"/>
          <w:sz w:val="24"/>
          <w:szCs w:val="24"/>
          <w:lang w:val="en-US"/>
        </w:rPr>
        <w:t xml:space="preserve">, J., U. </w:t>
      </w:r>
      <w:proofErr w:type="spellStart"/>
      <w:r w:rsidRPr="0085413C">
        <w:rPr>
          <w:rFonts w:ascii="Times New Roman" w:hAnsi="Times New Roman" w:cs="Times New Roman"/>
          <w:sz w:val="24"/>
          <w:szCs w:val="24"/>
          <w:lang w:val="en-US"/>
        </w:rPr>
        <w:t>Hoejmose</w:t>
      </w:r>
      <w:proofErr w:type="spellEnd"/>
      <w:r w:rsidRPr="0085413C">
        <w:rPr>
          <w:rFonts w:ascii="Times New Roman" w:hAnsi="Times New Roman" w:cs="Times New Roman"/>
          <w:sz w:val="24"/>
          <w:szCs w:val="24"/>
          <w:lang w:val="en-US"/>
        </w:rPr>
        <w:t xml:space="preserve">, S., 2014. Reputational risks and sustainable supply chain management: Decision making under bounded rationality. Int. J.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Prod.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xml:space="preserve">. 34, 695–719. </w:t>
      </w:r>
      <w:r w:rsidR="0067052F" w:rsidRPr="0067052F">
        <w:rPr>
          <w:rFonts w:ascii="Times New Roman" w:hAnsi="Times New Roman" w:cs="Times New Roman"/>
          <w:sz w:val="24"/>
          <w:szCs w:val="24"/>
          <w:lang w:val="en-US"/>
        </w:rPr>
        <w:t>https://doi.org/10.1108/IJOPM-10-2012-0449</w:t>
      </w:r>
    </w:p>
    <w:p w14:paraId="7F576CEF"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Riera</w:t>
      </w:r>
      <w:proofErr w:type="spellEnd"/>
      <w:r w:rsidRPr="0085413C">
        <w:rPr>
          <w:rFonts w:ascii="Times New Roman" w:hAnsi="Times New Roman" w:cs="Times New Roman"/>
          <w:sz w:val="24"/>
          <w:szCs w:val="24"/>
          <w:lang w:val="en-US"/>
        </w:rPr>
        <w:t xml:space="preserve">, M., </w:t>
      </w:r>
      <w:proofErr w:type="spellStart"/>
      <w:r w:rsidRPr="0085413C">
        <w:rPr>
          <w:rFonts w:ascii="Times New Roman" w:hAnsi="Times New Roman" w:cs="Times New Roman"/>
          <w:sz w:val="24"/>
          <w:szCs w:val="24"/>
          <w:lang w:val="en-US"/>
        </w:rPr>
        <w:t>Iborra</w:t>
      </w:r>
      <w:proofErr w:type="spellEnd"/>
      <w:r w:rsidRPr="0085413C">
        <w:rPr>
          <w:rFonts w:ascii="Times New Roman" w:hAnsi="Times New Roman" w:cs="Times New Roman"/>
          <w:sz w:val="24"/>
          <w:szCs w:val="24"/>
          <w:lang w:val="en-US"/>
        </w:rPr>
        <w:t xml:space="preserve">, M., 2017. Corporate social irresponsibility: review and conceptual boundaries. Eur. J.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Bus. Econ 26, 146–162. https://doi.org/10.1108/EJMBE-07-2017-009</w:t>
      </w:r>
    </w:p>
    <w:p w14:paraId="57FB0C80"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Schäufele</w:t>
      </w:r>
      <w:proofErr w:type="spellEnd"/>
      <w:r w:rsidRPr="0085413C">
        <w:rPr>
          <w:rFonts w:ascii="Times New Roman" w:hAnsi="Times New Roman" w:cs="Times New Roman"/>
          <w:sz w:val="24"/>
          <w:szCs w:val="24"/>
          <w:lang w:val="en-US"/>
        </w:rPr>
        <w:t xml:space="preserve">, I., Hamm, U., 2017. Consumers’ perceptions, preferences and willingness-to-pay for wine with sustainability characteristics: A review. </w:t>
      </w:r>
      <w:r w:rsidRPr="001D6522">
        <w:rPr>
          <w:rFonts w:ascii="Times New Roman" w:hAnsi="Times New Roman" w:cs="Times New Roman"/>
          <w:sz w:val="24"/>
          <w:szCs w:val="24"/>
          <w:lang w:val="en-US"/>
        </w:rPr>
        <w:t xml:space="preserve">J. Clean. </w:t>
      </w:r>
      <w:r w:rsidRPr="0085413C">
        <w:rPr>
          <w:rFonts w:ascii="Times New Roman" w:hAnsi="Times New Roman" w:cs="Times New Roman"/>
          <w:sz w:val="24"/>
          <w:szCs w:val="24"/>
          <w:lang w:val="en-US"/>
        </w:rPr>
        <w:t>Prod. 147, 379–394. https://doi.org/10.1016/j.jclepro.2017.01.118</w:t>
      </w:r>
    </w:p>
    <w:p w14:paraId="551B781E"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Selviaridis</w:t>
      </w:r>
      <w:proofErr w:type="spellEnd"/>
      <w:r w:rsidRPr="0085413C">
        <w:rPr>
          <w:rFonts w:ascii="Times New Roman" w:hAnsi="Times New Roman" w:cs="Times New Roman"/>
          <w:sz w:val="24"/>
          <w:szCs w:val="24"/>
          <w:lang w:val="en-US"/>
        </w:rPr>
        <w:t xml:space="preserve">, K., Spring, M., 2018. Supply chain alignment as process: contracting, learning and pay-for-performance. </w:t>
      </w:r>
      <w:r w:rsidRPr="001D6522">
        <w:rPr>
          <w:rFonts w:ascii="Times New Roman" w:hAnsi="Times New Roman" w:cs="Times New Roman"/>
          <w:sz w:val="24"/>
          <w:szCs w:val="24"/>
          <w:lang w:val="en-US"/>
        </w:rPr>
        <w:t xml:space="preserve">Int. J. </w:t>
      </w:r>
      <w:proofErr w:type="spellStart"/>
      <w:r w:rsidRPr="001D6522">
        <w:rPr>
          <w:rFonts w:ascii="Times New Roman" w:hAnsi="Times New Roman" w:cs="Times New Roman"/>
          <w:sz w:val="24"/>
          <w:szCs w:val="24"/>
          <w:lang w:val="en-US"/>
        </w:rPr>
        <w:t>Oper</w:t>
      </w:r>
      <w:proofErr w:type="spellEnd"/>
      <w:r w:rsidRPr="001D6522">
        <w:rPr>
          <w:rFonts w:ascii="Times New Roman" w:hAnsi="Times New Roman" w:cs="Times New Roman"/>
          <w:sz w:val="24"/>
          <w:szCs w:val="24"/>
          <w:lang w:val="en-US"/>
        </w:rPr>
        <w:t xml:space="preserve">. Prod. </w:t>
      </w:r>
      <w:proofErr w:type="spellStart"/>
      <w:r w:rsidRPr="001D6522">
        <w:rPr>
          <w:rFonts w:ascii="Times New Roman" w:hAnsi="Times New Roman" w:cs="Times New Roman"/>
          <w:sz w:val="24"/>
          <w:szCs w:val="24"/>
          <w:lang w:val="en-US"/>
        </w:rPr>
        <w:t>Manag</w:t>
      </w:r>
      <w:proofErr w:type="spellEnd"/>
      <w:r w:rsidRPr="001D6522">
        <w:rPr>
          <w:rFonts w:ascii="Times New Roman" w:hAnsi="Times New Roman" w:cs="Times New Roman"/>
          <w:sz w:val="24"/>
          <w:szCs w:val="24"/>
          <w:lang w:val="en-US"/>
        </w:rPr>
        <w:t xml:space="preserve">. </w:t>
      </w:r>
      <w:r w:rsidRPr="0085413C">
        <w:rPr>
          <w:rFonts w:ascii="Times New Roman" w:hAnsi="Times New Roman" w:cs="Times New Roman"/>
          <w:sz w:val="24"/>
          <w:szCs w:val="24"/>
          <w:lang w:val="en-US"/>
        </w:rPr>
        <w:t>38, 732–755. https://doi.org/10.1108/IJOPM-01-2017-0059</w:t>
      </w:r>
    </w:p>
    <w:p w14:paraId="19DC0D23"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Silvestre, B.S., Silva, M.E., Cormack, A., </w:t>
      </w:r>
      <w:proofErr w:type="spellStart"/>
      <w:r w:rsidRPr="0085413C">
        <w:rPr>
          <w:rFonts w:ascii="Times New Roman" w:hAnsi="Times New Roman" w:cs="Times New Roman"/>
          <w:sz w:val="24"/>
          <w:szCs w:val="24"/>
          <w:lang w:val="en-US"/>
        </w:rPr>
        <w:t>Thome</w:t>
      </w:r>
      <w:proofErr w:type="spellEnd"/>
      <w:r w:rsidRPr="0085413C">
        <w:rPr>
          <w:rFonts w:ascii="Times New Roman" w:hAnsi="Times New Roman" w:cs="Times New Roman"/>
          <w:sz w:val="24"/>
          <w:szCs w:val="24"/>
          <w:lang w:val="en-US"/>
        </w:rPr>
        <w:t xml:space="preserve">, A.M.T., 2020. Supply chain sustainability trajectories: learning through sustainability initiatives. Int. J.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Prod.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40, 1301–1337. https://doi.org/10.1108/IJOPM-01-2020-0043</w:t>
      </w:r>
    </w:p>
    <w:p w14:paraId="29F0C352"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Suchman</w:t>
      </w:r>
      <w:proofErr w:type="spellEnd"/>
      <w:r w:rsidRPr="0085413C">
        <w:rPr>
          <w:rFonts w:ascii="Times New Roman" w:hAnsi="Times New Roman" w:cs="Times New Roman"/>
          <w:sz w:val="24"/>
          <w:szCs w:val="24"/>
          <w:lang w:val="en-US"/>
        </w:rPr>
        <w:t xml:space="preserve">, M.C., 1995. Managing Legitimacy: Strategic and Institutional Approaches. Acad.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Rev. 20, 571–610. https://doi.org/10.5465/amr.1995.9508080331</w:t>
      </w:r>
    </w:p>
    <w:p w14:paraId="1481DED5"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Suddaby, R., </w:t>
      </w:r>
      <w:proofErr w:type="spellStart"/>
      <w:r w:rsidRPr="0085413C">
        <w:rPr>
          <w:rFonts w:ascii="Times New Roman" w:hAnsi="Times New Roman" w:cs="Times New Roman"/>
          <w:sz w:val="24"/>
          <w:szCs w:val="24"/>
          <w:lang w:val="en-US"/>
        </w:rPr>
        <w:t>Bitektine</w:t>
      </w:r>
      <w:proofErr w:type="spellEnd"/>
      <w:r w:rsidRPr="0085413C">
        <w:rPr>
          <w:rFonts w:ascii="Times New Roman" w:hAnsi="Times New Roman" w:cs="Times New Roman"/>
          <w:sz w:val="24"/>
          <w:szCs w:val="24"/>
          <w:lang w:val="en-US"/>
        </w:rPr>
        <w:t xml:space="preserve">, A., Haack, P., 2017. Legitimacy. Acad.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Ann. 11, 451–478. https://doi.org/10.5465/annals.2015.0101</w:t>
      </w:r>
    </w:p>
    <w:p w14:paraId="554E5424"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Szekely</w:t>
      </w:r>
      <w:proofErr w:type="spellEnd"/>
      <w:r w:rsidRPr="0085413C">
        <w:rPr>
          <w:rFonts w:ascii="Times New Roman" w:hAnsi="Times New Roman" w:cs="Times New Roman"/>
          <w:sz w:val="24"/>
          <w:szCs w:val="24"/>
          <w:lang w:val="en-US"/>
        </w:rPr>
        <w:t xml:space="preserve">, F., </w:t>
      </w:r>
      <w:proofErr w:type="spellStart"/>
      <w:r w:rsidRPr="0085413C">
        <w:rPr>
          <w:rFonts w:ascii="Times New Roman" w:hAnsi="Times New Roman" w:cs="Times New Roman"/>
          <w:sz w:val="24"/>
          <w:szCs w:val="24"/>
          <w:lang w:val="en-US"/>
        </w:rPr>
        <w:t>Dossa</w:t>
      </w:r>
      <w:proofErr w:type="spellEnd"/>
      <w:r w:rsidRPr="0085413C">
        <w:rPr>
          <w:rFonts w:ascii="Times New Roman" w:hAnsi="Times New Roman" w:cs="Times New Roman"/>
          <w:sz w:val="24"/>
          <w:szCs w:val="24"/>
          <w:lang w:val="en-US"/>
        </w:rPr>
        <w:t>, Z., 2017. Beyond the Triple Bottom Line: Eight Steps toward a Sustainable Business Model. MIT Press.</w:t>
      </w:r>
    </w:p>
    <w:p w14:paraId="38FEBCD9"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Tachizawa</w:t>
      </w:r>
      <w:proofErr w:type="spellEnd"/>
      <w:r w:rsidRPr="0085413C">
        <w:rPr>
          <w:rFonts w:ascii="Times New Roman" w:hAnsi="Times New Roman" w:cs="Times New Roman"/>
          <w:sz w:val="24"/>
          <w:szCs w:val="24"/>
          <w:lang w:val="en-US"/>
        </w:rPr>
        <w:t xml:space="preserve">, M.E., Wong, Y.C., 2014. Towards a theory of multi-tier sustainable supply chains: a systematic literature review. Supply Chain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Int. J. 19, 643–663. https://doi.org/10.1108/SCM-02-2014-0070</w:t>
      </w:r>
    </w:p>
    <w:p w14:paraId="1F9FAD85"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Talay</w:t>
      </w:r>
      <w:proofErr w:type="spellEnd"/>
      <w:r w:rsidRPr="0085413C">
        <w:rPr>
          <w:rFonts w:ascii="Times New Roman" w:hAnsi="Times New Roman" w:cs="Times New Roman"/>
          <w:sz w:val="24"/>
          <w:szCs w:val="24"/>
          <w:lang w:val="en-US"/>
        </w:rPr>
        <w:t xml:space="preserve">, C., </w:t>
      </w:r>
      <w:proofErr w:type="spellStart"/>
      <w:r w:rsidRPr="0085413C">
        <w:rPr>
          <w:rFonts w:ascii="Times New Roman" w:hAnsi="Times New Roman" w:cs="Times New Roman"/>
          <w:sz w:val="24"/>
          <w:szCs w:val="24"/>
          <w:lang w:val="en-US"/>
        </w:rPr>
        <w:t>Oxborrow</w:t>
      </w:r>
      <w:proofErr w:type="spellEnd"/>
      <w:r w:rsidRPr="0085413C">
        <w:rPr>
          <w:rFonts w:ascii="Times New Roman" w:hAnsi="Times New Roman" w:cs="Times New Roman"/>
          <w:sz w:val="24"/>
          <w:szCs w:val="24"/>
          <w:lang w:val="en-US"/>
        </w:rPr>
        <w:t>, L., Brindley, C., 2020. How small suppliers deal with the buyer power in asymmetric relationships within the sustainable fashion supply chain. J. Bus. Res. 117, 604–614. https://doi.org/10.1016/j.jbusres.2018.08.034</w:t>
      </w:r>
    </w:p>
    <w:p w14:paraId="4BD0953E"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The New York Times, 2020. Why you should care that Boohoo is making headlines https://www.nytimes.com/2020/07/08/fashion/boohoo-labor-influencer-crisis.html</w:t>
      </w:r>
    </w:p>
    <w:p w14:paraId="1BFA41C5" w14:textId="77777777" w:rsidR="001D6522" w:rsidRPr="001D6522"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Touboulic</w:t>
      </w:r>
      <w:proofErr w:type="spellEnd"/>
      <w:r w:rsidRPr="0085413C">
        <w:rPr>
          <w:rFonts w:ascii="Times New Roman" w:hAnsi="Times New Roman" w:cs="Times New Roman"/>
          <w:sz w:val="24"/>
          <w:szCs w:val="24"/>
          <w:lang w:val="en-US"/>
        </w:rPr>
        <w:t xml:space="preserve">, A., </w:t>
      </w:r>
      <w:proofErr w:type="spellStart"/>
      <w:r w:rsidRPr="0085413C">
        <w:rPr>
          <w:rFonts w:ascii="Times New Roman" w:hAnsi="Times New Roman" w:cs="Times New Roman"/>
          <w:sz w:val="24"/>
          <w:szCs w:val="24"/>
          <w:lang w:val="en-US"/>
        </w:rPr>
        <w:t>Chicksand</w:t>
      </w:r>
      <w:proofErr w:type="spellEnd"/>
      <w:r w:rsidRPr="0085413C">
        <w:rPr>
          <w:rFonts w:ascii="Times New Roman" w:hAnsi="Times New Roman" w:cs="Times New Roman"/>
          <w:sz w:val="24"/>
          <w:szCs w:val="24"/>
          <w:lang w:val="en-US"/>
        </w:rPr>
        <w:t xml:space="preserve">, D., Walker, H., 2014. Managing Imbalanced Supply Chain Relationships for Sustainability: A Power Perspective. </w:t>
      </w:r>
      <w:proofErr w:type="spellStart"/>
      <w:r w:rsidRPr="001D6522">
        <w:rPr>
          <w:rFonts w:ascii="Times New Roman" w:hAnsi="Times New Roman" w:cs="Times New Roman"/>
          <w:sz w:val="24"/>
          <w:szCs w:val="24"/>
          <w:lang w:val="en-US"/>
        </w:rPr>
        <w:t>Decis</w:t>
      </w:r>
      <w:proofErr w:type="spellEnd"/>
      <w:r w:rsidRPr="001D6522">
        <w:rPr>
          <w:rFonts w:ascii="Times New Roman" w:hAnsi="Times New Roman" w:cs="Times New Roman"/>
          <w:sz w:val="24"/>
          <w:szCs w:val="24"/>
          <w:lang w:val="en-US"/>
        </w:rPr>
        <w:t xml:space="preserve">. Sci 45, 577–619.  </w:t>
      </w:r>
    </w:p>
    <w:p w14:paraId="6AB9D8AA" w14:textId="77777777" w:rsidR="001D6522" w:rsidRPr="001D6522" w:rsidRDefault="001D6522" w:rsidP="0067052F">
      <w:pPr>
        <w:pStyle w:val="Bibliografa"/>
        <w:spacing w:line="276" w:lineRule="auto"/>
        <w:ind w:hanging="12"/>
        <w:jc w:val="both"/>
        <w:rPr>
          <w:rFonts w:ascii="Times New Roman" w:hAnsi="Times New Roman" w:cs="Times New Roman"/>
          <w:sz w:val="24"/>
          <w:szCs w:val="24"/>
          <w:lang w:val="en-US"/>
        </w:rPr>
      </w:pPr>
      <w:r w:rsidRPr="001D6522">
        <w:rPr>
          <w:rFonts w:ascii="Times New Roman" w:hAnsi="Times New Roman" w:cs="Times New Roman"/>
          <w:sz w:val="24"/>
          <w:szCs w:val="24"/>
          <w:lang w:val="en-US"/>
        </w:rPr>
        <w:t>https://doi.org/10.1111/deci.12087</w:t>
      </w:r>
    </w:p>
    <w:p w14:paraId="76B9D123"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1D6522">
        <w:rPr>
          <w:rFonts w:ascii="Times New Roman" w:hAnsi="Times New Roman" w:cs="Times New Roman"/>
          <w:sz w:val="24"/>
          <w:szCs w:val="24"/>
          <w:lang w:val="en-US"/>
        </w:rPr>
        <w:t xml:space="preserve">Tura, N., </w:t>
      </w:r>
      <w:proofErr w:type="spellStart"/>
      <w:r w:rsidRPr="001D6522">
        <w:rPr>
          <w:rFonts w:ascii="Times New Roman" w:hAnsi="Times New Roman" w:cs="Times New Roman"/>
          <w:sz w:val="24"/>
          <w:szCs w:val="24"/>
          <w:lang w:val="en-US"/>
        </w:rPr>
        <w:t>Keränen</w:t>
      </w:r>
      <w:proofErr w:type="spellEnd"/>
      <w:r w:rsidRPr="001D6522">
        <w:rPr>
          <w:rFonts w:ascii="Times New Roman" w:hAnsi="Times New Roman" w:cs="Times New Roman"/>
          <w:sz w:val="24"/>
          <w:szCs w:val="24"/>
          <w:lang w:val="en-US"/>
        </w:rPr>
        <w:t xml:space="preserve">, J., </w:t>
      </w:r>
      <w:proofErr w:type="spellStart"/>
      <w:r w:rsidRPr="001D6522">
        <w:rPr>
          <w:rFonts w:ascii="Times New Roman" w:hAnsi="Times New Roman" w:cs="Times New Roman"/>
          <w:sz w:val="24"/>
          <w:szCs w:val="24"/>
          <w:lang w:val="en-US"/>
        </w:rPr>
        <w:t>Patala</w:t>
      </w:r>
      <w:proofErr w:type="spellEnd"/>
      <w:r w:rsidRPr="001D6522">
        <w:rPr>
          <w:rFonts w:ascii="Times New Roman" w:hAnsi="Times New Roman" w:cs="Times New Roman"/>
          <w:sz w:val="24"/>
          <w:szCs w:val="24"/>
          <w:lang w:val="en-US"/>
        </w:rPr>
        <w:t xml:space="preserve">, S., 2019. </w:t>
      </w:r>
      <w:r w:rsidRPr="0085413C">
        <w:rPr>
          <w:rFonts w:ascii="Times New Roman" w:hAnsi="Times New Roman" w:cs="Times New Roman"/>
          <w:sz w:val="24"/>
          <w:szCs w:val="24"/>
          <w:lang w:val="en-US"/>
        </w:rPr>
        <w:t xml:space="preserve">The darker side of sustainability: Tensions from sustainable business practices in business networks. Ind. Market.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77, 221–231. https://doi.org/10.1016/j.indmarman.2018.09.002</w:t>
      </w:r>
    </w:p>
    <w:p w14:paraId="519934AF"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Villena</w:t>
      </w:r>
      <w:proofErr w:type="spellEnd"/>
      <w:r w:rsidRPr="0085413C">
        <w:rPr>
          <w:rFonts w:ascii="Times New Roman" w:hAnsi="Times New Roman" w:cs="Times New Roman"/>
          <w:sz w:val="24"/>
          <w:szCs w:val="24"/>
          <w:lang w:val="en-US"/>
        </w:rPr>
        <w:t xml:space="preserve">, V.H., Craighead, C.W., 2017. On the Same Page? How Asymmetric Buyer-Supplier Relationships Affect Opportunism and Performance. Prod. </w:t>
      </w:r>
      <w:proofErr w:type="spellStart"/>
      <w:r w:rsidRPr="0085413C">
        <w:rPr>
          <w:rFonts w:ascii="Times New Roman" w:hAnsi="Times New Roman" w:cs="Times New Roman"/>
          <w:sz w:val="24"/>
          <w:szCs w:val="24"/>
          <w:lang w:val="en-US"/>
        </w:rPr>
        <w:t>Oper</w:t>
      </w:r>
      <w:proofErr w:type="spellEnd"/>
      <w:r w:rsidRPr="0085413C">
        <w:rPr>
          <w:rFonts w:ascii="Times New Roman" w:hAnsi="Times New Roman" w:cs="Times New Roman"/>
          <w:sz w:val="24"/>
          <w:szCs w:val="24"/>
          <w:lang w:val="en-US"/>
        </w:rPr>
        <w:t xml:space="preserve">.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26, 491–508. https://doi.org/10.1111/poms.12648</w:t>
      </w:r>
    </w:p>
    <w:p w14:paraId="7D86F8E9"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Villena</w:t>
      </w:r>
      <w:proofErr w:type="spellEnd"/>
      <w:r w:rsidRPr="0085413C">
        <w:rPr>
          <w:rFonts w:ascii="Times New Roman" w:hAnsi="Times New Roman" w:cs="Times New Roman"/>
          <w:sz w:val="24"/>
          <w:szCs w:val="24"/>
          <w:lang w:val="en-US"/>
        </w:rPr>
        <w:t xml:space="preserve">, V.H., Wilhelm, M., Xiao, C.-Y., 2021. Untangling drivers for supplier environmental and social responsibility: An investigation in Philips Lighting’s </w:t>
      </w:r>
      <w:r w:rsidRPr="0085413C">
        <w:rPr>
          <w:rFonts w:ascii="Times New Roman" w:hAnsi="Times New Roman" w:cs="Times New Roman"/>
          <w:sz w:val="24"/>
          <w:szCs w:val="24"/>
          <w:lang w:val="en-US"/>
        </w:rPr>
        <w:lastRenderedPageBreak/>
        <w:t>Chinese supply chain. Journal of Operations Management 67, 476–510. https://doi.org/10.1002/joom.1131</w:t>
      </w:r>
    </w:p>
    <w:p w14:paraId="3E07EC98"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Villena</w:t>
      </w:r>
      <w:proofErr w:type="spellEnd"/>
      <w:r w:rsidRPr="0085413C">
        <w:rPr>
          <w:rFonts w:ascii="Times New Roman" w:hAnsi="Times New Roman" w:cs="Times New Roman"/>
          <w:sz w:val="24"/>
          <w:szCs w:val="24"/>
          <w:lang w:val="en-US"/>
        </w:rPr>
        <w:t xml:space="preserve">, V., </w:t>
      </w:r>
      <w:proofErr w:type="spellStart"/>
      <w:r w:rsidRPr="0085413C">
        <w:rPr>
          <w:rFonts w:ascii="Times New Roman" w:hAnsi="Times New Roman" w:cs="Times New Roman"/>
          <w:sz w:val="24"/>
          <w:szCs w:val="24"/>
          <w:lang w:val="en-US"/>
        </w:rPr>
        <w:t>Gioia</w:t>
      </w:r>
      <w:proofErr w:type="spellEnd"/>
      <w:r w:rsidRPr="0085413C">
        <w:rPr>
          <w:rFonts w:ascii="Times New Roman" w:hAnsi="Times New Roman" w:cs="Times New Roman"/>
          <w:sz w:val="24"/>
          <w:szCs w:val="24"/>
          <w:lang w:val="en-US"/>
        </w:rPr>
        <w:t>, D., 2020. A More Sustainable Supply Chain. Harvard business review March/April, 84–92.</w:t>
      </w:r>
    </w:p>
    <w:p w14:paraId="510C5710"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rPr>
        <w:t>Vollero</w:t>
      </w:r>
      <w:proofErr w:type="spellEnd"/>
      <w:r w:rsidRPr="0085413C">
        <w:rPr>
          <w:rFonts w:ascii="Times New Roman" w:hAnsi="Times New Roman" w:cs="Times New Roman"/>
          <w:sz w:val="24"/>
          <w:szCs w:val="24"/>
        </w:rPr>
        <w:t xml:space="preserve">, A., Conte, F., </w:t>
      </w:r>
      <w:proofErr w:type="spellStart"/>
      <w:r w:rsidRPr="0085413C">
        <w:rPr>
          <w:rFonts w:ascii="Times New Roman" w:hAnsi="Times New Roman" w:cs="Times New Roman"/>
          <w:sz w:val="24"/>
          <w:szCs w:val="24"/>
        </w:rPr>
        <w:t>Siano</w:t>
      </w:r>
      <w:proofErr w:type="spellEnd"/>
      <w:r w:rsidRPr="0085413C">
        <w:rPr>
          <w:rFonts w:ascii="Times New Roman" w:hAnsi="Times New Roman" w:cs="Times New Roman"/>
          <w:sz w:val="24"/>
          <w:szCs w:val="24"/>
        </w:rPr>
        <w:t xml:space="preserve">, A., </w:t>
      </w:r>
      <w:proofErr w:type="spellStart"/>
      <w:r w:rsidRPr="0085413C">
        <w:rPr>
          <w:rFonts w:ascii="Times New Roman" w:hAnsi="Times New Roman" w:cs="Times New Roman"/>
          <w:sz w:val="24"/>
          <w:szCs w:val="24"/>
        </w:rPr>
        <w:t>Covucci</w:t>
      </w:r>
      <w:proofErr w:type="spellEnd"/>
      <w:r w:rsidRPr="0085413C">
        <w:rPr>
          <w:rFonts w:ascii="Times New Roman" w:hAnsi="Times New Roman" w:cs="Times New Roman"/>
          <w:sz w:val="24"/>
          <w:szCs w:val="24"/>
        </w:rPr>
        <w:t xml:space="preserve">, C., 2019. </w:t>
      </w:r>
      <w:r w:rsidRPr="0085413C">
        <w:rPr>
          <w:rFonts w:ascii="Times New Roman" w:hAnsi="Times New Roman" w:cs="Times New Roman"/>
          <w:sz w:val="24"/>
          <w:szCs w:val="24"/>
          <w:lang w:val="en-US"/>
        </w:rPr>
        <w:t xml:space="preserve">Corporate social responsibility information and involvement strategies in controversial industries. Corp. Soc. </w:t>
      </w:r>
      <w:proofErr w:type="spellStart"/>
      <w:r w:rsidRPr="0085413C">
        <w:rPr>
          <w:rFonts w:ascii="Times New Roman" w:hAnsi="Times New Roman" w:cs="Times New Roman"/>
          <w:sz w:val="24"/>
          <w:szCs w:val="24"/>
          <w:lang w:val="en-US"/>
        </w:rPr>
        <w:t>Responsib</w:t>
      </w:r>
      <w:proofErr w:type="spellEnd"/>
      <w:r w:rsidRPr="0085413C">
        <w:rPr>
          <w:rFonts w:ascii="Times New Roman" w:hAnsi="Times New Roman" w:cs="Times New Roman"/>
          <w:sz w:val="24"/>
          <w:szCs w:val="24"/>
          <w:lang w:val="en-US"/>
        </w:rPr>
        <w:t xml:space="preserve">. Environ.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26, 141–151. https://doi.org/10.1002/csr.1666</w:t>
      </w:r>
    </w:p>
    <w:p w14:paraId="6174E477"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Walker, A.M., Vermeulen, W.J.V., </w:t>
      </w:r>
      <w:proofErr w:type="spellStart"/>
      <w:r w:rsidRPr="0085413C">
        <w:rPr>
          <w:rFonts w:ascii="Times New Roman" w:hAnsi="Times New Roman" w:cs="Times New Roman"/>
          <w:sz w:val="24"/>
          <w:szCs w:val="24"/>
          <w:lang w:val="en-US"/>
        </w:rPr>
        <w:t>Simboli</w:t>
      </w:r>
      <w:proofErr w:type="spellEnd"/>
      <w:r w:rsidRPr="0085413C">
        <w:rPr>
          <w:rFonts w:ascii="Times New Roman" w:hAnsi="Times New Roman" w:cs="Times New Roman"/>
          <w:sz w:val="24"/>
          <w:szCs w:val="24"/>
          <w:lang w:val="en-US"/>
        </w:rPr>
        <w:t>, A., Raggi, A., 2021. Sustainability assessment in circular inter-firm networks: An integrated framework of industrial ecology and circular supply chain management approaches. J. Clean. Prod. 286, 125457. https://doi.org/10.1016/j.jclepro.2020.125457</w:t>
      </w:r>
    </w:p>
    <w:p w14:paraId="5C6D9966" w14:textId="77777777" w:rsidR="001D6522" w:rsidRPr="0085413C" w:rsidRDefault="001D6522" w:rsidP="0067052F">
      <w:pPr>
        <w:pStyle w:val="Bibliografa"/>
        <w:spacing w:line="276" w:lineRule="auto"/>
        <w:jc w:val="both"/>
        <w:rPr>
          <w:rFonts w:ascii="Times New Roman" w:hAnsi="Times New Roman" w:cs="Times New Roman"/>
          <w:sz w:val="24"/>
          <w:szCs w:val="24"/>
          <w:lang w:val="en-US"/>
        </w:rPr>
      </w:pPr>
      <w:proofErr w:type="spellStart"/>
      <w:r w:rsidRPr="0085413C">
        <w:rPr>
          <w:rFonts w:ascii="Times New Roman" w:hAnsi="Times New Roman" w:cs="Times New Roman"/>
          <w:sz w:val="24"/>
          <w:szCs w:val="24"/>
          <w:lang w:val="en-US"/>
        </w:rPr>
        <w:t>Yawar</w:t>
      </w:r>
      <w:proofErr w:type="spellEnd"/>
      <w:r w:rsidRPr="0085413C">
        <w:rPr>
          <w:rFonts w:ascii="Times New Roman" w:hAnsi="Times New Roman" w:cs="Times New Roman"/>
          <w:sz w:val="24"/>
          <w:szCs w:val="24"/>
          <w:lang w:val="en-US"/>
        </w:rPr>
        <w:t xml:space="preserve">, S.A., </w:t>
      </w:r>
      <w:proofErr w:type="spellStart"/>
      <w:r w:rsidRPr="0085413C">
        <w:rPr>
          <w:rFonts w:ascii="Times New Roman" w:hAnsi="Times New Roman" w:cs="Times New Roman"/>
          <w:sz w:val="24"/>
          <w:szCs w:val="24"/>
          <w:lang w:val="en-US"/>
        </w:rPr>
        <w:t>Seuring</w:t>
      </w:r>
      <w:proofErr w:type="spellEnd"/>
      <w:r w:rsidRPr="0085413C">
        <w:rPr>
          <w:rFonts w:ascii="Times New Roman" w:hAnsi="Times New Roman" w:cs="Times New Roman"/>
          <w:sz w:val="24"/>
          <w:szCs w:val="24"/>
          <w:lang w:val="en-US"/>
        </w:rPr>
        <w:t>, S., 2017. Management of Social Issues in Supply Chains: A Literature Review Exploring Social Issues, Actions and Performance Outcomes. J. Bus. Ethics 141, 621–643. https://doi.org/10.1007/s10551-015-2719-9</w:t>
      </w:r>
    </w:p>
    <w:p w14:paraId="73A2B4AB" w14:textId="77777777" w:rsidR="001D6522" w:rsidRPr="007A6E4B" w:rsidRDefault="001D6522" w:rsidP="0067052F">
      <w:pPr>
        <w:pStyle w:val="Bibliografa"/>
        <w:spacing w:line="276" w:lineRule="auto"/>
        <w:jc w:val="both"/>
        <w:rPr>
          <w:rFonts w:ascii="Times New Roman" w:hAnsi="Times New Roman" w:cs="Times New Roman"/>
          <w:sz w:val="24"/>
          <w:szCs w:val="24"/>
          <w:lang w:val="en-US"/>
        </w:rPr>
      </w:pPr>
      <w:r w:rsidRPr="0085413C">
        <w:rPr>
          <w:rFonts w:ascii="Times New Roman" w:hAnsi="Times New Roman" w:cs="Times New Roman"/>
          <w:sz w:val="24"/>
          <w:szCs w:val="24"/>
          <w:lang w:val="en-US"/>
        </w:rPr>
        <w:t xml:space="preserve">Zimmerman, M.A., </w:t>
      </w:r>
      <w:proofErr w:type="spellStart"/>
      <w:r w:rsidRPr="0085413C">
        <w:rPr>
          <w:rFonts w:ascii="Times New Roman" w:hAnsi="Times New Roman" w:cs="Times New Roman"/>
          <w:sz w:val="24"/>
          <w:szCs w:val="24"/>
          <w:lang w:val="en-US"/>
        </w:rPr>
        <w:t>Zeitz</w:t>
      </w:r>
      <w:proofErr w:type="spellEnd"/>
      <w:r w:rsidRPr="0085413C">
        <w:rPr>
          <w:rFonts w:ascii="Times New Roman" w:hAnsi="Times New Roman" w:cs="Times New Roman"/>
          <w:sz w:val="24"/>
          <w:szCs w:val="24"/>
          <w:lang w:val="en-US"/>
        </w:rPr>
        <w:t xml:space="preserve">, G.J., 2002. Beyond Survival: Achieving New Venture Growth by Building Legitimacy. Acad. </w:t>
      </w:r>
      <w:proofErr w:type="spellStart"/>
      <w:r w:rsidRPr="0085413C">
        <w:rPr>
          <w:rFonts w:ascii="Times New Roman" w:hAnsi="Times New Roman" w:cs="Times New Roman"/>
          <w:sz w:val="24"/>
          <w:szCs w:val="24"/>
          <w:lang w:val="en-US"/>
        </w:rPr>
        <w:t>Manag</w:t>
      </w:r>
      <w:proofErr w:type="spellEnd"/>
      <w:r w:rsidRPr="0085413C">
        <w:rPr>
          <w:rFonts w:ascii="Times New Roman" w:hAnsi="Times New Roman" w:cs="Times New Roman"/>
          <w:sz w:val="24"/>
          <w:szCs w:val="24"/>
          <w:lang w:val="en-US"/>
        </w:rPr>
        <w:t>. Rev. 27, 414–431. https://doi.org/10.5465/amr.2002.7389921</w:t>
      </w:r>
    </w:p>
    <w:p w14:paraId="2EB9DFB3" w14:textId="43FA036D" w:rsidR="00F3370E" w:rsidRPr="005B4F69" w:rsidRDefault="00F3370E" w:rsidP="0077691A">
      <w:pPr>
        <w:pStyle w:val="Bibliografa"/>
        <w:spacing w:line="276" w:lineRule="auto"/>
        <w:rPr>
          <w:rFonts w:ascii="Times New Roman" w:hAnsi="Times New Roman" w:cs="Times New Roman"/>
          <w:color w:val="FF0000"/>
          <w:sz w:val="24"/>
          <w:szCs w:val="24"/>
          <w:lang w:val="en-US"/>
        </w:rPr>
      </w:pPr>
    </w:p>
    <w:p w14:paraId="00BC98FB" w14:textId="0FE4B144" w:rsidR="00B01B77" w:rsidRPr="00F3370E" w:rsidRDefault="00B01B77" w:rsidP="00B01B77">
      <w:pPr>
        <w:pStyle w:val="Bibliografa"/>
        <w:rPr>
          <w:lang w:val="en-GB"/>
        </w:rPr>
      </w:pPr>
    </w:p>
    <w:p w14:paraId="2D3CA7A9" w14:textId="5F5C7EE7" w:rsidR="00787FB7" w:rsidRPr="00F3370E" w:rsidRDefault="00787FB7" w:rsidP="00787FB7">
      <w:pPr>
        <w:pStyle w:val="Bibliografa"/>
        <w:rPr>
          <w:lang w:val="en-US"/>
        </w:rPr>
      </w:pPr>
    </w:p>
    <w:p w14:paraId="68E1DC1D" w14:textId="50A56818" w:rsidR="007C3FC3" w:rsidRDefault="007C3FC3">
      <w:pPr>
        <w:rPr>
          <w:lang w:val="en-GB"/>
        </w:rPr>
      </w:pPr>
    </w:p>
    <w:p w14:paraId="3BC622B9" w14:textId="77777777" w:rsidR="00FA1ED7" w:rsidRDefault="00FA1ED7">
      <w:pPr>
        <w:rPr>
          <w:lang w:val="en-GB"/>
        </w:rPr>
        <w:sectPr w:rsidR="00FA1ED7">
          <w:footerReference w:type="default" r:id="rId8"/>
          <w:pgSz w:w="11906" w:h="16838"/>
          <w:pgMar w:top="1417" w:right="1701" w:bottom="1417" w:left="1701" w:header="708" w:footer="708" w:gutter="0"/>
          <w:cols w:space="708"/>
          <w:docGrid w:linePitch="360"/>
        </w:sectPr>
      </w:pPr>
    </w:p>
    <w:p w14:paraId="1B530265" w14:textId="77777777" w:rsidR="009C4AE1" w:rsidRDefault="009C4AE1" w:rsidP="009C4AE1">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w:t>
      </w:r>
      <w:r w:rsidRPr="00857E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1</w:t>
      </w:r>
    </w:p>
    <w:p w14:paraId="5A8F90B1" w14:textId="77777777" w:rsidR="009C4AE1" w:rsidRPr="00515F17" w:rsidRDefault="009C4AE1" w:rsidP="009C4AE1">
      <w:pPr>
        <w:rPr>
          <w:rFonts w:ascii="Times New Roman" w:hAnsi="Times New Roman" w:cs="Times New Roman"/>
          <w:b/>
          <w:sz w:val="24"/>
          <w:szCs w:val="24"/>
          <w:lang w:val="en-US"/>
        </w:rPr>
      </w:pPr>
      <w:r>
        <w:rPr>
          <w:rFonts w:ascii="Times New Roman" w:hAnsi="Times New Roman" w:cs="Times New Roman"/>
          <w:sz w:val="24"/>
          <w:szCs w:val="24"/>
          <w:lang w:val="en-US"/>
        </w:rPr>
        <w:t>Buyer firms and top suppliers included in the sample.</w:t>
      </w:r>
      <w:r w:rsidRPr="00515F17">
        <w:rPr>
          <w:rFonts w:ascii="Times New Roman" w:hAnsi="Times New Roman" w:cs="Times New Roman"/>
          <w:b/>
          <w:sz w:val="24"/>
          <w:szCs w:val="24"/>
          <w:lang w:val="en-US"/>
        </w:rPr>
        <w:t xml:space="preserve"> </w:t>
      </w:r>
    </w:p>
    <w:tbl>
      <w:tblPr>
        <w:tblStyle w:val="Tablaconcuadrcula"/>
        <w:tblW w:w="0" w:type="auto"/>
        <w:tblLook w:val="04A0" w:firstRow="1" w:lastRow="0" w:firstColumn="1" w:lastColumn="0" w:noHBand="0" w:noVBand="1"/>
      </w:tblPr>
      <w:tblGrid>
        <w:gridCol w:w="837"/>
        <w:gridCol w:w="4546"/>
        <w:gridCol w:w="1526"/>
        <w:gridCol w:w="1973"/>
      </w:tblGrid>
      <w:tr w:rsidR="009C4AE1" w:rsidRPr="00C879C2" w14:paraId="0529D52A" w14:textId="77777777" w:rsidTr="00BA7963">
        <w:tc>
          <w:tcPr>
            <w:tcW w:w="5383" w:type="dxa"/>
            <w:gridSpan w:val="2"/>
            <w:tcBorders>
              <w:top w:val="double" w:sz="4" w:space="0" w:color="auto"/>
              <w:left w:val="nil"/>
              <w:bottom w:val="single" w:sz="4" w:space="0" w:color="auto"/>
              <w:right w:val="nil"/>
            </w:tcBorders>
          </w:tcPr>
          <w:p w14:paraId="50AEB263" w14:textId="77777777" w:rsidR="009C4AE1" w:rsidRPr="00C879C2" w:rsidRDefault="009C4AE1" w:rsidP="00BA7963">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NAICS code (</w:t>
            </w:r>
            <w:r w:rsidRPr="00C879C2">
              <w:rPr>
                <w:rFonts w:ascii="Times New Roman" w:hAnsi="Times New Roman" w:cs="Times New Roman"/>
                <w:sz w:val="24"/>
                <w:szCs w:val="24"/>
                <w:lang w:val="en-GB"/>
              </w:rPr>
              <w:t>2-digit</w:t>
            </w:r>
            <w:r>
              <w:rPr>
                <w:rFonts w:ascii="Times New Roman" w:hAnsi="Times New Roman" w:cs="Times New Roman"/>
                <w:sz w:val="24"/>
                <w:szCs w:val="24"/>
                <w:lang w:val="en-GB"/>
              </w:rPr>
              <w:t xml:space="preserve"> level)</w:t>
            </w:r>
          </w:p>
        </w:tc>
        <w:tc>
          <w:tcPr>
            <w:tcW w:w="1526" w:type="dxa"/>
            <w:tcBorders>
              <w:top w:val="double" w:sz="4" w:space="0" w:color="auto"/>
              <w:left w:val="nil"/>
              <w:bottom w:val="single" w:sz="4" w:space="0" w:color="auto"/>
              <w:right w:val="nil"/>
            </w:tcBorders>
          </w:tcPr>
          <w:p w14:paraId="58FE62DE" w14:textId="77777777" w:rsidR="009C4AE1" w:rsidRDefault="009C4AE1" w:rsidP="00BA7963">
            <w:pPr>
              <w:spacing w:line="360" w:lineRule="auto"/>
              <w:jc w:val="center"/>
              <w:rPr>
                <w:rFonts w:ascii="Times New Roman" w:hAnsi="Times New Roman" w:cs="Times New Roman"/>
                <w:sz w:val="24"/>
                <w:szCs w:val="24"/>
              </w:rPr>
            </w:pPr>
            <w:proofErr w:type="spellStart"/>
            <w:r w:rsidRPr="00C879C2">
              <w:rPr>
                <w:rFonts w:ascii="Times New Roman" w:hAnsi="Times New Roman" w:cs="Times New Roman"/>
                <w:sz w:val="24"/>
                <w:szCs w:val="24"/>
              </w:rPr>
              <w:t>Buyer</w:t>
            </w:r>
            <w:proofErr w:type="spellEnd"/>
            <w:r w:rsidRPr="00C879C2">
              <w:rPr>
                <w:rFonts w:ascii="Times New Roman" w:hAnsi="Times New Roman" w:cs="Times New Roman"/>
                <w:sz w:val="24"/>
                <w:szCs w:val="24"/>
              </w:rPr>
              <w:t xml:space="preserve"> </w:t>
            </w:r>
          </w:p>
          <w:p w14:paraId="3223D5DC" w14:textId="77777777" w:rsidR="009C4AE1" w:rsidRPr="00C879C2" w:rsidRDefault="009C4AE1" w:rsidP="00BA7963">
            <w:pPr>
              <w:spacing w:line="360" w:lineRule="auto"/>
              <w:jc w:val="center"/>
              <w:rPr>
                <w:rFonts w:ascii="Times New Roman" w:hAnsi="Times New Roman" w:cs="Times New Roman"/>
                <w:sz w:val="24"/>
                <w:szCs w:val="24"/>
              </w:rPr>
            </w:pPr>
            <w:proofErr w:type="spellStart"/>
            <w:r w:rsidRPr="00C879C2">
              <w:rPr>
                <w:rFonts w:ascii="Times New Roman" w:hAnsi="Times New Roman" w:cs="Times New Roman"/>
                <w:sz w:val="24"/>
                <w:szCs w:val="24"/>
              </w:rPr>
              <w:t>Firms</w:t>
            </w:r>
            <w:proofErr w:type="spellEnd"/>
            <w:r w:rsidRPr="00C879C2">
              <w:rPr>
                <w:rFonts w:ascii="Times New Roman" w:hAnsi="Times New Roman" w:cs="Times New Roman"/>
                <w:sz w:val="24"/>
                <w:szCs w:val="24"/>
              </w:rPr>
              <w:t xml:space="preserve"> </w:t>
            </w:r>
          </w:p>
        </w:tc>
        <w:tc>
          <w:tcPr>
            <w:tcW w:w="1973" w:type="dxa"/>
            <w:tcBorders>
              <w:top w:val="double" w:sz="4" w:space="0" w:color="auto"/>
              <w:left w:val="nil"/>
              <w:bottom w:val="single" w:sz="4" w:space="0" w:color="auto"/>
              <w:right w:val="nil"/>
            </w:tcBorders>
          </w:tcPr>
          <w:p w14:paraId="23D03263" w14:textId="77777777" w:rsidR="009C4AE1" w:rsidRPr="00C879C2" w:rsidRDefault="009C4AE1" w:rsidP="00BA7963">
            <w:pPr>
              <w:spacing w:line="360" w:lineRule="auto"/>
              <w:jc w:val="center"/>
              <w:rPr>
                <w:rFonts w:ascii="Times New Roman" w:hAnsi="Times New Roman" w:cs="Times New Roman"/>
                <w:sz w:val="24"/>
                <w:szCs w:val="24"/>
              </w:rPr>
            </w:pPr>
            <w:r w:rsidRPr="00C879C2">
              <w:rPr>
                <w:rFonts w:ascii="Times New Roman" w:hAnsi="Times New Roman" w:cs="Times New Roman"/>
                <w:sz w:val="24"/>
                <w:szCs w:val="24"/>
              </w:rPr>
              <w:t xml:space="preserve">Top </w:t>
            </w:r>
            <w:proofErr w:type="spellStart"/>
            <w:r w:rsidRPr="00C879C2">
              <w:rPr>
                <w:rFonts w:ascii="Times New Roman" w:hAnsi="Times New Roman" w:cs="Times New Roman"/>
                <w:sz w:val="24"/>
                <w:szCs w:val="24"/>
              </w:rPr>
              <w:t>Supplier</w:t>
            </w:r>
            <w:proofErr w:type="spellEnd"/>
            <w:r w:rsidRPr="00C879C2">
              <w:rPr>
                <w:rFonts w:ascii="Times New Roman" w:hAnsi="Times New Roman" w:cs="Times New Roman"/>
                <w:sz w:val="24"/>
                <w:szCs w:val="24"/>
              </w:rPr>
              <w:t xml:space="preserve"> </w:t>
            </w:r>
            <w:proofErr w:type="spellStart"/>
            <w:r w:rsidRPr="00C879C2">
              <w:rPr>
                <w:rFonts w:ascii="Times New Roman" w:hAnsi="Times New Roman" w:cs="Times New Roman"/>
                <w:sz w:val="24"/>
                <w:szCs w:val="24"/>
              </w:rPr>
              <w:t>Firms</w:t>
            </w:r>
            <w:proofErr w:type="spellEnd"/>
            <w:r w:rsidRPr="00C879C2">
              <w:rPr>
                <w:rFonts w:ascii="Times New Roman" w:hAnsi="Times New Roman" w:cs="Times New Roman"/>
                <w:sz w:val="24"/>
                <w:szCs w:val="24"/>
              </w:rPr>
              <w:t xml:space="preserve"> </w:t>
            </w:r>
          </w:p>
        </w:tc>
      </w:tr>
      <w:tr w:rsidR="009C4AE1" w:rsidRPr="00F92113" w14:paraId="304DAC85" w14:textId="77777777" w:rsidTr="00BA7963">
        <w:tc>
          <w:tcPr>
            <w:tcW w:w="837" w:type="dxa"/>
            <w:tcBorders>
              <w:top w:val="single" w:sz="4" w:space="0" w:color="auto"/>
              <w:left w:val="nil"/>
              <w:bottom w:val="nil"/>
              <w:right w:val="nil"/>
            </w:tcBorders>
          </w:tcPr>
          <w:p w14:paraId="30E34D87" w14:textId="77777777" w:rsidR="009C4AE1" w:rsidRPr="00C879C2" w:rsidRDefault="009C4AE1" w:rsidP="00BA7963">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4546" w:type="dxa"/>
            <w:tcBorders>
              <w:top w:val="single" w:sz="4" w:space="0" w:color="auto"/>
              <w:left w:val="nil"/>
              <w:bottom w:val="nil"/>
              <w:right w:val="nil"/>
            </w:tcBorders>
          </w:tcPr>
          <w:p w14:paraId="1B220066" w14:textId="77777777" w:rsidR="009C4AE1" w:rsidRPr="00153998" w:rsidRDefault="009C4AE1" w:rsidP="00BA7963">
            <w:pPr>
              <w:spacing w:line="360" w:lineRule="auto"/>
              <w:rPr>
                <w:rFonts w:ascii="Times New Roman" w:hAnsi="Times New Roman" w:cs="Times New Roman"/>
                <w:sz w:val="24"/>
                <w:szCs w:val="24"/>
                <w:lang w:val="en-US"/>
              </w:rPr>
            </w:pPr>
            <w:r w:rsidRPr="00153998">
              <w:rPr>
                <w:rFonts w:ascii="Times New Roman" w:hAnsi="Times New Roman" w:cs="Times New Roman"/>
                <w:sz w:val="24"/>
                <w:szCs w:val="24"/>
                <w:lang w:val="en-US"/>
              </w:rPr>
              <w:t>Mining, Quarrying, and Oil and Gas Extraction</w:t>
            </w:r>
          </w:p>
        </w:tc>
        <w:tc>
          <w:tcPr>
            <w:tcW w:w="1526" w:type="dxa"/>
            <w:tcBorders>
              <w:top w:val="single" w:sz="4" w:space="0" w:color="auto"/>
              <w:left w:val="nil"/>
              <w:bottom w:val="nil"/>
              <w:right w:val="nil"/>
            </w:tcBorders>
          </w:tcPr>
          <w:p w14:paraId="0276000E" w14:textId="77777777" w:rsidR="009C4AE1" w:rsidRPr="00F92113" w:rsidRDefault="009C4AE1" w:rsidP="00BA796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49</w:t>
            </w:r>
          </w:p>
        </w:tc>
        <w:tc>
          <w:tcPr>
            <w:tcW w:w="1973" w:type="dxa"/>
            <w:tcBorders>
              <w:top w:val="single" w:sz="4" w:space="0" w:color="auto"/>
              <w:left w:val="nil"/>
              <w:bottom w:val="nil"/>
              <w:right w:val="nil"/>
            </w:tcBorders>
          </w:tcPr>
          <w:p w14:paraId="03ECD901" w14:textId="77777777" w:rsidR="009C4AE1" w:rsidRPr="00F92113" w:rsidRDefault="009C4AE1" w:rsidP="00BA796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r>
      <w:tr w:rsidR="009C4AE1" w:rsidRPr="00F92113" w14:paraId="2CE8A137" w14:textId="77777777" w:rsidTr="00BA7963">
        <w:tc>
          <w:tcPr>
            <w:tcW w:w="837" w:type="dxa"/>
            <w:tcBorders>
              <w:top w:val="nil"/>
              <w:left w:val="nil"/>
              <w:bottom w:val="nil"/>
              <w:right w:val="nil"/>
            </w:tcBorders>
          </w:tcPr>
          <w:p w14:paraId="2EE03AC8" w14:textId="77777777" w:rsidR="009C4AE1" w:rsidRPr="00F92113" w:rsidRDefault="009C4AE1" w:rsidP="00BA796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4546" w:type="dxa"/>
            <w:tcBorders>
              <w:top w:val="nil"/>
              <w:left w:val="nil"/>
              <w:bottom w:val="nil"/>
              <w:right w:val="nil"/>
            </w:tcBorders>
            <w:vAlign w:val="bottom"/>
          </w:tcPr>
          <w:p w14:paraId="6B3BD864" w14:textId="77777777" w:rsidR="009C4AE1" w:rsidRPr="00153998" w:rsidRDefault="009C4AE1" w:rsidP="00BA7963">
            <w:pPr>
              <w:spacing w:line="360" w:lineRule="auto"/>
              <w:rPr>
                <w:rFonts w:ascii="Times New Roman" w:hAnsi="Times New Roman" w:cs="Times New Roman"/>
                <w:color w:val="000000"/>
                <w:sz w:val="24"/>
                <w:szCs w:val="24"/>
                <w:lang w:val="en-US"/>
              </w:rPr>
            </w:pPr>
            <w:r w:rsidRPr="00153998">
              <w:rPr>
                <w:rFonts w:ascii="Times New Roman" w:hAnsi="Times New Roman" w:cs="Times New Roman"/>
                <w:color w:val="000000"/>
                <w:sz w:val="24"/>
                <w:szCs w:val="24"/>
                <w:lang w:val="en-US"/>
              </w:rPr>
              <w:t>Construction</w:t>
            </w:r>
          </w:p>
        </w:tc>
        <w:tc>
          <w:tcPr>
            <w:tcW w:w="1526" w:type="dxa"/>
            <w:tcBorders>
              <w:top w:val="nil"/>
              <w:left w:val="nil"/>
              <w:bottom w:val="nil"/>
              <w:right w:val="nil"/>
            </w:tcBorders>
          </w:tcPr>
          <w:p w14:paraId="71E972B1" w14:textId="77777777" w:rsidR="009C4AE1" w:rsidRPr="00F92113" w:rsidRDefault="009C4AE1" w:rsidP="00BA796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973" w:type="dxa"/>
            <w:tcBorders>
              <w:top w:val="nil"/>
              <w:left w:val="nil"/>
              <w:bottom w:val="nil"/>
              <w:right w:val="nil"/>
            </w:tcBorders>
          </w:tcPr>
          <w:p w14:paraId="23E1EA5C" w14:textId="77777777" w:rsidR="009C4AE1" w:rsidRPr="00F92113" w:rsidRDefault="009C4AE1" w:rsidP="00BA796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9C4AE1" w:rsidRPr="00F92113" w14:paraId="495874F9" w14:textId="77777777" w:rsidTr="00BA7963">
        <w:tc>
          <w:tcPr>
            <w:tcW w:w="837" w:type="dxa"/>
            <w:tcBorders>
              <w:top w:val="nil"/>
              <w:left w:val="nil"/>
              <w:bottom w:val="nil"/>
              <w:right w:val="nil"/>
            </w:tcBorders>
          </w:tcPr>
          <w:p w14:paraId="737D93FE" w14:textId="77777777" w:rsidR="009C4AE1" w:rsidRPr="00F92113"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31-33</w:t>
            </w:r>
          </w:p>
        </w:tc>
        <w:tc>
          <w:tcPr>
            <w:tcW w:w="4546" w:type="dxa"/>
            <w:tcBorders>
              <w:top w:val="nil"/>
              <w:left w:val="nil"/>
              <w:bottom w:val="nil"/>
              <w:right w:val="nil"/>
            </w:tcBorders>
            <w:vAlign w:val="bottom"/>
          </w:tcPr>
          <w:p w14:paraId="33A36F62" w14:textId="77777777" w:rsidR="009C4AE1" w:rsidRPr="00153998" w:rsidRDefault="009C4AE1" w:rsidP="00BA7963">
            <w:pPr>
              <w:spacing w:line="360" w:lineRule="auto"/>
              <w:rPr>
                <w:rFonts w:ascii="Times New Roman" w:hAnsi="Times New Roman" w:cs="Times New Roman"/>
                <w:color w:val="000000" w:themeColor="text1"/>
                <w:sz w:val="24"/>
                <w:szCs w:val="24"/>
                <w:lang w:val="en-US"/>
              </w:rPr>
            </w:pPr>
            <w:proofErr w:type="spellStart"/>
            <w:r w:rsidRPr="00153998">
              <w:rPr>
                <w:rFonts w:ascii="Times New Roman" w:hAnsi="Times New Roman" w:cs="Times New Roman"/>
                <w:color w:val="202124"/>
                <w:sz w:val="24"/>
                <w:szCs w:val="24"/>
                <w:shd w:val="clear" w:color="auto" w:fill="FFFFFF"/>
              </w:rPr>
              <w:t>Manufacturin</w:t>
            </w:r>
            <w:r>
              <w:rPr>
                <w:rFonts w:ascii="Times New Roman" w:hAnsi="Times New Roman" w:cs="Times New Roman"/>
                <w:color w:val="202124"/>
                <w:sz w:val="24"/>
                <w:szCs w:val="24"/>
                <w:shd w:val="clear" w:color="auto" w:fill="FFFFFF"/>
              </w:rPr>
              <w:t>g</w:t>
            </w:r>
            <w:proofErr w:type="spellEnd"/>
          </w:p>
        </w:tc>
        <w:tc>
          <w:tcPr>
            <w:tcW w:w="1526" w:type="dxa"/>
            <w:tcBorders>
              <w:top w:val="nil"/>
              <w:left w:val="nil"/>
              <w:bottom w:val="nil"/>
              <w:right w:val="nil"/>
            </w:tcBorders>
          </w:tcPr>
          <w:p w14:paraId="1FF4E309"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283</w:t>
            </w:r>
          </w:p>
        </w:tc>
        <w:tc>
          <w:tcPr>
            <w:tcW w:w="1973" w:type="dxa"/>
            <w:tcBorders>
              <w:top w:val="nil"/>
              <w:left w:val="nil"/>
              <w:bottom w:val="nil"/>
              <w:right w:val="nil"/>
            </w:tcBorders>
          </w:tcPr>
          <w:p w14:paraId="10B6A158"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230</w:t>
            </w:r>
          </w:p>
        </w:tc>
      </w:tr>
      <w:tr w:rsidR="009C4AE1" w:rsidRPr="00F92113" w14:paraId="27F092E9" w14:textId="77777777" w:rsidTr="00BA7963">
        <w:tc>
          <w:tcPr>
            <w:tcW w:w="837" w:type="dxa"/>
            <w:tcBorders>
              <w:top w:val="nil"/>
              <w:left w:val="nil"/>
              <w:bottom w:val="nil"/>
              <w:right w:val="nil"/>
            </w:tcBorders>
          </w:tcPr>
          <w:p w14:paraId="618C63A6" w14:textId="77777777" w:rsidR="009C4AE1" w:rsidRPr="00F92113"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42</w:t>
            </w:r>
          </w:p>
        </w:tc>
        <w:tc>
          <w:tcPr>
            <w:tcW w:w="4546" w:type="dxa"/>
            <w:tcBorders>
              <w:top w:val="nil"/>
              <w:left w:val="nil"/>
              <w:bottom w:val="nil"/>
              <w:right w:val="nil"/>
            </w:tcBorders>
            <w:vAlign w:val="bottom"/>
          </w:tcPr>
          <w:p w14:paraId="61D7C66C" w14:textId="77777777" w:rsidR="009C4AE1" w:rsidRPr="00153998" w:rsidRDefault="009C4AE1" w:rsidP="00BA7963">
            <w:pPr>
              <w:spacing w:line="360" w:lineRule="auto"/>
              <w:rPr>
                <w:rFonts w:ascii="Times New Roman" w:hAnsi="Times New Roman" w:cs="Times New Roman"/>
                <w:color w:val="000000" w:themeColor="text1"/>
                <w:sz w:val="24"/>
                <w:szCs w:val="24"/>
                <w:lang w:val="en-US"/>
              </w:rPr>
            </w:pPr>
            <w:r w:rsidRPr="00153998">
              <w:rPr>
                <w:rFonts w:ascii="Times New Roman" w:hAnsi="Times New Roman" w:cs="Times New Roman"/>
                <w:color w:val="000000" w:themeColor="text1"/>
                <w:sz w:val="24"/>
                <w:szCs w:val="24"/>
                <w:lang w:val="en-US"/>
              </w:rPr>
              <w:t>Wholesale Trade</w:t>
            </w:r>
          </w:p>
        </w:tc>
        <w:tc>
          <w:tcPr>
            <w:tcW w:w="1526" w:type="dxa"/>
            <w:tcBorders>
              <w:top w:val="nil"/>
              <w:left w:val="nil"/>
              <w:bottom w:val="nil"/>
              <w:right w:val="nil"/>
            </w:tcBorders>
          </w:tcPr>
          <w:p w14:paraId="2DE40563"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36</w:t>
            </w:r>
          </w:p>
        </w:tc>
        <w:tc>
          <w:tcPr>
            <w:tcW w:w="1973" w:type="dxa"/>
            <w:tcBorders>
              <w:top w:val="nil"/>
              <w:left w:val="nil"/>
              <w:bottom w:val="nil"/>
              <w:right w:val="nil"/>
            </w:tcBorders>
          </w:tcPr>
          <w:p w14:paraId="1FAF6CE0"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w:t>
            </w:r>
          </w:p>
        </w:tc>
      </w:tr>
      <w:tr w:rsidR="009C4AE1" w:rsidRPr="00F92113" w14:paraId="0C173327" w14:textId="77777777" w:rsidTr="00BA7963">
        <w:tc>
          <w:tcPr>
            <w:tcW w:w="837" w:type="dxa"/>
            <w:tcBorders>
              <w:top w:val="nil"/>
              <w:left w:val="nil"/>
              <w:bottom w:val="nil"/>
              <w:right w:val="nil"/>
            </w:tcBorders>
          </w:tcPr>
          <w:p w14:paraId="5340BDB3" w14:textId="77777777" w:rsidR="009C4AE1" w:rsidRPr="00F92113"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44-45</w:t>
            </w:r>
          </w:p>
        </w:tc>
        <w:tc>
          <w:tcPr>
            <w:tcW w:w="4546" w:type="dxa"/>
            <w:tcBorders>
              <w:top w:val="nil"/>
              <w:left w:val="nil"/>
              <w:bottom w:val="nil"/>
              <w:right w:val="nil"/>
            </w:tcBorders>
          </w:tcPr>
          <w:p w14:paraId="75BA59AF" w14:textId="77777777" w:rsidR="009C4AE1" w:rsidRPr="00153998" w:rsidRDefault="009C4AE1" w:rsidP="00BA7963">
            <w:pPr>
              <w:spacing w:line="360" w:lineRule="auto"/>
              <w:rPr>
                <w:rFonts w:ascii="Times New Roman" w:hAnsi="Times New Roman" w:cs="Times New Roman"/>
                <w:color w:val="000000" w:themeColor="text1"/>
                <w:sz w:val="24"/>
                <w:szCs w:val="24"/>
                <w:lang w:val="en-US"/>
              </w:rPr>
            </w:pPr>
            <w:r w:rsidRPr="00153998">
              <w:rPr>
                <w:rFonts w:ascii="Times New Roman" w:hAnsi="Times New Roman" w:cs="Times New Roman"/>
                <w:color w:val="000000" w:themeColor="text1"/>
                <w:sz w:val="24"/>
                <w:szCs w:val="24"/>
                <w:lang w:val="en-US"/>
              </w:rPr>
              <w:t>Retail Trade</w:t>
            </w:r>
          </w:p>
        </w:tc>
        <w:tc>
          <w:tcPr>
            <w:tcW w:w="1526" w:type="dxa"/>
            <w:tcBorders>
              <w:top w:val="nil"/>
              <w:left w:val="nil"/>
              <w:bottom w:val="nil"/>
              <w:right w:val="nil"/>
            </w:tcBorders>
          </w:tcPr>
          <w:p w14:paraId="090F90BA"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68</w:t>
            </w:r>
          </w:p>
        </w:tc>
        <w:tc>
          <w:tcPr>
            <w:tcW w:w="1973" w:type="dxa"/>
            <w:tcBorders>
              <w:top w:val="nil"/>
              <w:left w:val="nil"/>
              <w:bottom w:val="nil"/>
              <w:right w:val="nil"/>
            </w:tcBorders>
          </w:tcPr>
          <w:p w14:paraId="352FF6AE"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w:t>
            </w:r>
          </w:p>
        </w:tc>
      </w:tr>
      <w:tr w:rsidR="009C4AE1" w:rsidRPr="00F92113" w14:paraId="1EFF70AB" w14:textId="77777777" w:rsidTr="00BA7963">
        <w:tc>
          <w:tcPr>
            <w:tcW w:w="837" w:type="dxa"/>
            <w:tcBorders>
              <w:top w:val="nil"/>
              <w:left w:val="nil"/>
              <w:bottom w:val="nil"/>
              <w:right w:val="nil"/>
            </w:tcBorders>
          </w:tcPr>
          <w:p w14:paraId="71120CA6" w14:textId="77777777" w:rsidR="009C4AE1" w:rsidRPr="00F92113"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48</w:t>
            </w:r>
          </w:p>
        </w:tc>
        <w:tc>
          <w:tcPr>
            <w:tcW w:w="4546" w:type="dxa"/>
            <w:tcBorders>
              <w:top w:val="nil"/>
              <w:left w:val="nil"/>
              <w:bottom w:val="nil"/>
              <w:right w:val="nil"/>
            </w:tcBorders>
          </w:tcPr>
          <w:p w14:paraId="5C7C1FF5" w14:textId="77777777" w:rsidR="009C4AE1" w:rsidRPr="00153998" w:rsidRDefault="009C4AE1" w:rsidP="00BA7963">
            <w:pPr>
              <w:spacing w:line="360" w:lineRule="auto"/>
              <w:rPr>
                <w:rFonts w:ascii="Times New Roman" w:hAnsi="Times New Roman" w:cs="Times New Roman"/>
                <w:color w:val="000000" w:themeColor="text1"/>
                <w:sz w:val="24"/>
                <w:szCs w:val="24"/>
                <w:lang w:val="en-US"/>
              </w:rPr>
            </w:pPr>
            <w:r w:rsidRPr="00153998">
              <w:rPr>
                <w:rFonts w:ascii="Times New Roman" w:hAnsi="Times New Roman" w:cs="Times New Roman"/>
                <w:color w:val="000000" w:themeColor="text1"/>
                <w:sz w:val="24"/>
                <w:szCs w:val="24"/>
                <w:lang w:val="en-US"/>
              </w:rPr>
              <w:t>Transportation and Warehousing</w:t>
            </w:r>
          </w:p>
        </w:tc>
        <w:tc>
          <w:tcPr>
            <w:tcW w:w="1526" w:type="dxa"/>
            <w:tcBorders>
              <w:top w:val="nil"/>
              <w:left w:val="nil"/>
              <w:bottom w:val="nil"/>
              <w:right w:val="nil"/>
            </w:tcBorders>
          </w:tcPr>
          <w:p w14:paraId="20E2EA53"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29</w:t>
            </w:r>
          </w:p>
        </w:tc>
        <w:tc>
          <w:tcPr>
            <w:tcW w:w="1973" w:type="dxa"/>
            <w:tcBorders>
              <w:top w:val="nil"/>
              <w:left w:val="nil"/>
              <w:bottom w:val="nil"/>
              <w:right w:val="nil"/>
            </w:tcBorders>
          </w:tcPr>
          <w:p w14:paraId="3C443058"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C4AE1" w:rsidRPr="00F92113" w14:paraId="0649DB0F" w14:textId="77777777" w:rsidTr="00BA7963">
        <w:tc>
          <w:tcPr>
            <w:tcW w:w="837" w:type="dxa"/>
            <w:tcBorders>
              <w:top w:val="nil"/>
              <w:left w:val="nil"/>
              <w:bottom w:val="nil"/>
              <w:right w:val="nil"/>
            </w:tcBorders>
          </w:tcPr>
          <w:p w14:paraId="48921BA6" w14:textId="77777777" w:rsidR="009C4AE1"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51</w:t>
            </w:r>
          </w:p>
        </w:tc>
        <w:tc>
          <w:tcPr>
            <w:tcW w:w="4546" w:type="dxa"/>
            <w:tcBorders>
              <w:top w:val="nil"/>
              <w:left w:val="nil"/>
              <w:bottom w:val="nil"/>
              <w:right w:val="nil"/>
            </w:tcBorders>
          </w:tcPr>
          <w:p w14:paraId="283B8CBE" w14:textId="77777777" w:rsidR="009C4AE1" w:rsidRPr="00C26248"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Information</w:t>
            </w:r>
          </w:p>
        </w:tc>
        <w:tc>
          <w:tcPr>
            <w:tcW w:w="1526" w:type="dxa"/>
            <w:tcBorders>
              <w:top w:val="nil"/>
              <w:left w:val="nil"/>
              <w:bottom w:val="nil"/>
              <w:right w:val="nil"/>
            </w:tcBorders>
          </w:tcPr>
          <w:p w14:paraId="0F931BE9" w14:textId="77777777" w:rsidR="009C4AE1"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w:t>
            </w:r>
          </w:p>
        </w:tc>
        <w:tc>
          <w:tcPr>
            <w:tcW w:w="1973" w:type="dxa"/>
            <w:tcBorders>
              <w:top w:val="nil"/>
              <w:left w:val="nil"/>
              <w:bottom w:val="nil"/>
              <w:right w:val="nil"/>
            </w:tcBorders>
          </w:tcPr>
          <w:p w14:paraId="19A266AE"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15</w:t>
            </w:r>
          </w:p>
        </w:tc>
      </w:tr>
      <w:tr w:rsidR="009C4AE1" w:rsidRPr="00F92113" w14:paraId="317B52FE" w14:textId="77777777" w:rsidTr="00BA7963">
        <w:tc>
          <w:tcPr>
            <w:tcW w:w="837" w:type="dxa"/>
            <w:tcBorders>
              <w:top w:val="nil"/>
              <w:left w:val="nil"/>
              <w:bottom w:val="nil"/>
              <w:right w:val="nil"/>
            </w:tcBorders>
          </w:tcPr>
          <w:p w14:paraId="5A658A9E" w14:textId="77777777" w:rsidR="009C4AE1"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54</w:t>
            </w:r>
          </w:p>
        </w:tc>
        <w:tc>
          <w:tcPr>
            <w:tcW w:w="4546" w:type="dxa"/>
            <w:tcBorders>
              <w:top w:val="nil"/>
              <w:left w:val="nil"/>
              <w:bottom w:val="nil"/>
              <w:right w:val="nil"/>
            </w:tcBorders>
          </w:tcPr>
          <w:p w14:paraId="0483A3C6" w14:textId="77777777" w:rsidR="009C4AE1" w:rsidRPr="00153998" w:rsidRDefault="009C4AE1" w:rsidP="00BA7963">
            <w:pPr>
              <w:spacing w:line="360" w:lineRule="auto"/>
              <w:rPr>
                <w:rFonts w:ascii="Times New Roman" w:hAnsi="Times New Roman" w:cs="Times New Roman"/>
                <w:color w:val="000000" w:themeColor="text1"/>
                <w:sz w:val="24"/>
                <w:szCs w:val="24"/>
                <w:lang w:val="en-US"/>
              </w:rPr>
            </w:pPr>
            <w:r w:rsidRPr="00C26248">
              <w:rPr>
                <w:rFonts w:ascii="Times New Roman" w:hAnsi="Times New Roman" w:cs="Times New Roman"/>
                <w:color w:val="000000" w:themeColor="text1"/>
                <w:sz w:val="24"/>
                <w:szCs w:val="24"/>
                <w:lang w:val="en-US"/>
              </w:rPr>
              <w:t>Professional, Scientific, and Technical Services</w:t>
            </w:r>
          </w:p>
        </w:tc>
        <w:tc>
          <w:tcPr>
            <w:tcW w:w="1526" w:type="dxa"/>
            <w:tcBorders>
              <w:top w:val="nil"/>
              <w:left w:val="nil"/>
              <w:bottom w:val="nil"/>
              <w:right w:val="nil"/>
            </w:tcBorders>
          </w:tcPr>
          <w:p w14:paraId="492E8446" w14:textId="77777777" w:rsidR="009C4AE1"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21</w:t>
            </w:r>
          </w:p>
        </w:tc>
        <w:tc>
          <w:tcPr>
            <w:tcW w:w="1973" w:type="dxa"/>
            <w:tcBorders>
              <w:top w:val="nil"/>
              <w:left w:val="nil"/>
              <w:bottom w:val="nil"/>
              <w:right w:val="nil"/>
            </w:tcBorders>
          </w:tcPr>
          <w:p w14:paraId="189544C1"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8</w:t>
            </w:r>
          </w:p>
        </w:tc>
      </w:tr>
      <w:tr w:rsidR="009C4AE1" w:rsidRPr="00F92113" w14:paraId="225B248C" w14:textId="77777777" w:rsidTr="00BA7963">
        <w:tc>
          <w:tcPr>
            <w:tcW w:w="837" w:type="dxa"/>
            <w:tcBorders>
              <w:top w:val="nil"/>
              <w:left w:val="nil"/>
              <w:bottom w:val="nil"/>
              <w:right w:val="nil"/>
            </w:tcBorders>
          </w:tcPr>
          <w:p w14:paraId="632B9A8F" w14:textId="77777777" w:rsidR="009C4AE1" w:rsidRPr="00F92113"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56</w:t>
            </w:r>
          </w:p>
        </w:tc>
        <w:tc>
          <w:tcPr>
            <w:tcW w:w="4546" w:type="dxa"/>
            <w:tcBorders>
              <w:top w:val="nil"/>
              <w:left w:val="nil"/>
              <w:bottom w:val="nil"/>
              <w:right w:val="nil"/>
            </w:tcBorders>
          </w:tcPr>
          <w:p w14:paraId="1AD55A4F" w14:textId="77777777" w:rsidR="009C4AE1" w:rsidRPr="00153998" w:rsidRDefault="009C4AE1" w:rsidP="00BA7963">
            <w:pPr>
              <w:spacing w:line="360" w:lineRule="auto"/>
              <w:rPr>
                <w:rFonts w:ascii="Times New Roman" w:hAnsi="Times New Roman" w:cs="Times New Roman"/>
                <w:color w:val="000000" w:themeColor="text1"/>
                <w:sz w:val="24"/>
                <w:szCs w:val="24"/>
                <w:lang w:val="en-US"/>
              </w:rPr>
            </w:pPr>
            <w:r w:rsidRPr="00153998">
              <w:rPr>
                <w:rFonts w:ascii="Times New Roman" w:hAnsi="Times New Roman" w:cs="Times New Roman"/>
                <w:color w:val="000000" w:themeColor="text1"/>
                <w:sz w:val="24"/>
                <w:szCs w:val="24"/>
                <w:lang w:val="en-US"/>
              </w:rPr>
              <w:t>Administrative and Support and Waste Management and Remediation Services</w:t>
            </w:r>
          </w:p>
        </w:tc>
        <w:tc>
          <w:tcPr>
            <w:tcW w:w="1526" w:type="dxa"/>
            <w:tcBorders>
              <w:top w:val="nil"/>
              <w:left w:val="nil"/>
              <w:bottom w:val="nil"/>
              <w:right w:val="nil"/>
            </w:tcBorders>
          </w:tcPr>
          <w:p w14:paraId="05F653EE"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p>
        </w:tc>
        <w:tc>
          <w:tcPr>
            <w:tcW w:w="1973" w:type="dxa"/>
            <w:tcBorders>
              <w:top w:val="nil"/>
              <w:left w:val="nil"/>
              <w:bottom w:val="nil"/>
              <w:right w:val="nil"/>
            </w:tcBorders>
          </w:tcPr>
          <w:p w14:paraId="55FE9306"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r>
      <w:tr w:rsidR="009C4AE1" w:rsidRPr="00F92113" w14:paraId="119E20B9" w14:textId="77777777" w:rsidTr="00BA7963">
        <w:tc>
          <w:tcPr>
            <w:tcW w:w="837" w:type="dxa"/>
            <w:tcBorders>
              <w:top w:val="nil"/>
              <w:left w:val="nil"/>
              <w:bottom w:val="nil"/>
              <w:right w:val="nil"/>
            </w:tcBorders>
          </w:tcPr>
          <w:p w14:paraId="1D95E0C2" w14:textId="77777777" w:rsidR="009C4AE1" w:rsidRPr="00F92113" w:rsidRDefault="009C4AE1" w:rsidP="00BA7963">
            <w:pPr>
              <w:spacing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62</w:t>
            </w:r>
          </w:p>
        </w:tc>
        <w:tc>
          <w:tcPr>
            <w:tcW w:w="4546" w:type="dxa"/>
            <w:tcBorders>
              <w:top w:val="nil"/>
              <w:left w:val="nil"/>
              <w:bottom w:val="nil"/>
              <w:right w:val="nil"/>
            </w:tcBorders>
          </w:tcPr>
          <w:p w14:paraId="19DC3A69" w14:textId="77777777" w:rsidR="009C4AE1" w:rsidRPr="00153998" w:rsidRDefault="009C4AE1" w:rsidP="00BA7963">
            <w:pPr>
              <w:spacing w:line="360" w:lineRule="auto"/>
              <w:rPr>
                <w:rFonts w:ascii="Times New Roman" w:hAnsi="Times New Roman" w:cs="Times New Roman"/>
                <w:color w:val="000000" w:themeColor="text1"/>
                <w:sz w:val="24"/>
                <w:szCs w:val="24"/>
                <w:lang w:val="en-US"/>
              </w:rPr>
            </w:pPr>
            <w:r w:rsidRPr="00153998">
              <w:rPr>
                <w:rFonts w:ascii="Times New Roman" w:hAnsi="Times New Roman" w:cs="Times New Roman"/>
                <w:color w:val="000000" w:themeColor="text1"/>
                <w:sz w:val="24"/>
                <w:szCs w:val="24"/>
                <w:lang w:val="en-US"/>
              </w:rPr>
              <w:t>Health Care and Social Assistance</w:t>
            </w:r>
          </w:p>
        </w:tc>
        <w:tc>
          <w:tcPr>
            <w:tcW w:w="1526" w:type="dxa"/>
            <w:tcBorders>
              <w:top w:val="nil"/>
              <w:left w:val="nil"/>
              <w:bottom w:val="nil"/>
              <w:right w:val="nil"/>
            </w:tcBorders>
          </w:tcPr>
          <w:p w14:paraId="30B99002"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11</w:t>
            </w:r>
          </w:p>
        </w:tc>
        <w:tc>
          <w:tcPr>
            <w:tcW w:w="1973" w:type="dxa"/>
            <w:tcBorders>
              <w:top w:val="nil"/>
              <w:left w:val="nil"/>
              <w:bottom w:val="nil"/>
              <w:right w:val="nil"/>
            </w:tcBorders>
          </w:tcPr>
          <w:p w14:paraId="59D6699A" w14:textId="77777777" w:rsidR="009C4AE1" w:rsidRPr="00F92113" w:rsidRDefault="009C4AE1" w:rsidP="00BA7963">
            <w:pPr>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0</w:t>
            </w:r>
          </w:p>
        </w:tc>
      </w:tr>
      <w:tr w:rsidR="009C4AE1" w:rsidRPr="00C879C2" w14:paraId="18B2DB86" w14:textId="77777777" w:rsidTr="00BA7963">
        <w:tc>
          <w:tcPr>
            <w:tcW w:w="837" w:type="dxa"/>
            <w:tcBorders>
              <w:top w:val="nil"/>
              <w:left w:val="nil"/>
              <w:bottom w:val="double" w:sz="4" w:space="0" w:color="auto"/>
              <w:right w:val="nil"/>
            </w:tcBorders>
          </w:tcPr>
          <w:p w14:paraId="7A5A22A2" w14:textId="77777777" w:rsidR="009C4AE1" w:rsidRPr="00F92113" w:rsidRDefault="009C4AE1" w:rsidP="00BA7963">
            <w:pPr>
              <w:spacing w:line="360" w:lineRule="auto"/>
              <w:rPr>
                <w:rFonts w:ascii="Times New Roman" w:hAnsi="Times New Roman" w:cs="Times New Roman"/>
                <w:color w:val="000000" w:themeColor="text1"/>
                <w:sz w:val="24"/>
                <w:szCs w:val="24"/>
                <w:lang w:val="en-US"/>
              </w:rPr>
            </w:pPr>
          </w:p>
        </w:tc>
        <w:tc>
          <w:tcPr>
            <w:tcW w:w="4546" w:type="dxa"/>
            <w:tcBorders>
              <w:top w:val="nil"/>
              <w:left w:val="nil"/>
              <w:bottom w:val="double" w:sz="4" w:space="0" w:color="auto"/>
              <w:right w:val="nil"/>
            </w:tcBorders>
            <w:vAlign w:val="bottom"/>
          </w:tcPr>
          <w:p w14:paraId="6EEFA15A" w14:textId="77777777" w:rsidR="009C4AE1" w:rsidRPr="00C879C2" w:rsidRDefault="009C4AE1" w:rsidP="00BA7963">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526" w:type="dxa"/>
            <w:tcBorders>
              <w:top w:val="nil"/>
              <w:left w:val="nil"/>
              <w:bottom w:val="double" w:sz="4" w:space="0" w:color="auto"/>
              <w:right w:val="nil"/>
            </w:tcBorders>
          </w:tcPr>
          <w:p w14:paraId="7A0DE750" w14:textId="77777777" w:rsidR="009C4AE1" w:rsidRPr="008B539C" w:rsidRDefault="009C4AE1" w:rsidP="00BA7963">
            <w:pPr>
              <w:spacing w:line="360" w:lineRule="auto"/>
              <w:jc w:val="center"/>
              <w:rPr>
                <w:rFonts w:ascii="Times New Roman" w:hAnsi="Times New Roman" w:cs="Times New Roman"/>
                <w:color w:val="000000" w:themeColor="text1"/>
                <w:sz w:val="24"/>
                <w:szCs w:val="24"/>
              </w:rPr>
            </w:pPr>
            <w:r w:rsidRPr="008B539C">
              <w:rPr>
                <w:rFonts w:ascii="Times New Roman" w:hAnsi="Times New Roman" w:cs="Times New Roman"/>
                <w:color w:val="000000" w:themeColor="text1"/>
                <w:sz w:val="24"/>
                <w:szCs w:val="24"/>
              </w:rPr>
              <w:t>516</w:t>
            </w:r>
          </w:p>
        </w:tc>
        <w:tc>
          <w:tcPr>
            <w:tcW w:w="1973" w:type="dxa"/>
            <w:tcBorders>
              <w:top w:val="nil"/>
              <w:left w:val="nil"/>
              <w:bottom w:val="double" w:sz="4" w:space="0" w:color="auto"/>
              <w:right w:val="nil"/>
            </w:tcBorders>
          </w:tcPr>
          <w:p w14:paraId="026FDE61" w14:textId="77777777" w:rsidR="009C4AE1" w:rsidRPr="008B539C" w:rsidRDefault="009C4AE1" w:rsidP="00BA7963">
            <w:pPr>
              <w:spacing w:line="360" w:lineRule="auto"/>
              <w:jc w:val="center"/>
              <w:rPr>
                <w:rFonts w:ascii="Times New Roman" w:hAnsi="Times New Roman" w:cs="Times New Roman"/>
                <w:color w:val="000000" w:themeColor="text1"/>
                <w:sz w:val="24"/>
                <w:szCs w:val="24"/>
              </w:rPr>
            </w:pPr>
            <w:r w:rsidRPr="008B539C">
              <w:rPr>
                <w:rFonts w:ascii="Times New Roman" w:hAnsi="Times New Roman" w:cs="Times New Roman"/>
                <w:color w:val="000000" w:themeColor="text1"/>
                <w:sz w:val="24"/>
                <w:szCs w:val="24"/>
              </w:rPr>
              <w:t>311</w:t>
            </w:r>
          </w:p>
        </w:tc>
      </w:tr>
    </w:tbl>
    <w:p w14:paraId="209C6492" w14:textId="77777777" w:rsidR="009C4AE1" w:rsidRDefault="009C4AE1" w:rsidP="009C4AE1">
      <w:pPr>
        <w:rPr>
          <w:rFonts w:ascii="Times New Roman" w:hAnsi="Times New Roman" w:cs="Times New Roman"/>
          <w:b/>
          <w:sz w:val="24"/>
          <w:szCs w:val="24"/>
          <w:lang w:val="en-US"/>
        </w:rPr>
        <w:sectPr w:rsidR="009C4AE1" w:rsidSect="00BA7963">
          <w:pgSz w:w="11906" w:h="16838"/>
          <w:pgMar w:top="1411" w:right="1440" w:bottom="1411" w:left="1584" w:header="706" w:footer="706" w:gutter="0"/>
          <w:cols w:space="708"/>
          <w:docGrid w:linePitch="360"/>
        </w:sectPr>
      </w:pPr>
    </w:p>
    <w:p w14:paraId="2ACB0B0F" w14:textId="77777777" w:rsidR="009C4AE1" w:rsidRDefault="009C4AE1" w:rsidP="009C4AE1">
      <w:pPr>
        <w:rPr>
          <w:rFonts w:ascii="Times New Roman" w:hAnsi="Times New Roman" w:cs="Times New Roman"/>
          <w:b/>
          <w:sz w:val="24"/>
          <w:szCs w:val="24"/>
          <w:lang w:val="en-GB"/>
        </w:rPr>
      </w:pPr>
      <w:r w:rsidRPr="007123C9">
        <w:rPr>
          <w:rFonts w:ascii="Times New Roman" w:hAnsi="Times New Roman" w:cs="Times New Roman"/>
          <w:b/>
          <w:sz w:val="24"/>
          <w:szCs w:val="24"/>
          <w:lang w:val="en-GB"/>
        </w:rPr>
        <w:lastRenderedPageBreak/>
        <w:t xml:space="preserve">Table </w:t>
      </w:r>
      <w:r>
        <w:rPr>
          <w:rFonts w:ascii="Times New Roman" w:hAnsi="Times New Roman" w:cs="Times New Roman"/>
          <w:b/>
          <w:sz w:val="24"/>
          <w:szCs w:val="24"/>
          <w:lang w:val="en-GB"/>
        </w:rPr>
        <w:t>2</w:t>
      </w:r>
    </w:p>
    <w:p w14:paraId="4A740601" w14:textId="77777777" w:rsidR="009C4AE1" w:rsidRPr="002D64E5" w:rsidRDefault="009C4AE1" w:rsidP="009C4AE1">
      <w:pPr>
        <w:rPr>
          <w:rFonts w:ascii="Times New Roman" w:hAnsi="Times New Roman" w:cs="Times New Roman"/>
          <w:b/>
          <w:sz w:val="24"/>
          <w:szCs w:val="24"/>
          <w:lang w:val="en-GB"/>
        </w:rPr>
      </w:pPr>
      <w:r w:rsidRPr="007123C9">
        <w:rPr>
          <w:rFonts w:ascii="Times New Roman" w:hAnsi="Times New Roman" w:cs="Times New Roman"/>
          <w:sz w:val="24"/>
          <w:szCs w:val="24"/>
          <w:lang w:val="en-GB"/>
        </w:rPr>
        <w:t>Descriptive statistics and correlation matrix</w:t>
      </w:r>
      <w:r>
        <w:rPr>
          <w:rFonts w:ascii="Times New Roman" w:hAnsi="Times New Roman" w:cs="Times New Roman"/>
          <w:sz w:val="24"/>
          <w:szCs w:val="24"/>
          <w:lang w:val="en-GB"/>
        </w:rPr>
        <w:t>.</w:t>
      </w:r>
    </w:p>
    <w:tbl>
      <w:tblPr>
        <w:tblStyle w:val="Tablaconcuadrcula"/>
        <w:tblW w:w="13288" w:type="dxa"/>
        <w:tblLook w:val="04A0" w:firstRow="1" w:lastRow="0" w:firstColumn="1" w:lastColumn="0" w:noHBand="0" w:noVBand="1"/>
      </w:tblPr>
      <w:tblGrid>
        <w:gridCol w:w="456"/>
        <w:gridCol w:w="3977"/>
        <w:gridCol w:w="884"/>
        <w:gridCol w:w="887"/>
        <w:gridCol w:w="886"/>
        <w:gridCol w:w="885"/>
        <w:gridCol w:w="887"/>
        <w:gridCol w:w="886"/>
        <w:gridCol w:w="887"/>
        <w:gridCol w:w="886"/>
        <w:gridCol w:w="917"/>
        <w:gridCol w:w="850"/>
      </w:tblGrid>
      <w:tr w:rsidR="009C4AE1" w:rsidRPr="000276E5" w14:paraId="5F5618FE" w14:textId="77777777" w:rsidTr="00BA7963">
        <w:tc>
          <w:tcPr>
            <w:tcW w:w="456" w:type="dxa"/>
            <w:tcBorders>
              <w:top w:val="double" w:sz="4" w:space="0" w:color="auto"/>
              <w:left w:val="nil"/>
              <w:bottom w:val="nil"/>
              <w:right w:val="nil"/>
            </w:tcBorders>
          </w:tcPr>
          <w:p w14:paraId="6017401C"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p>
        </w:tc>
        <w:tc>
          <w:tcPr>
            <w:tcW w:w="3977" w:type="dxa"/>
            <w:tcBorders>
              <w:top w:val="double" w:sz="4" w:space="0" w:color="auto"/>
              <w:left w:val="nil"/>
              <w:bottom w:val="nil"/>
              <w:right w:val="nil"/>
            </w:tcBorders>
          </w:tcPr>
          <w:p w14:paraId="770353A7"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p>
        </w:tc>
        <w:tc>
          <w:tcPr>
            <w:tcW w:w="884" w:type="dxa"/>
            <w:tcBorders>
              <w:top w:val="double" w:sz="4" w:space="0" w:color="auto"/>
              <w:left w:val="nil"/>
              <w:bottom w:val="nil"/>
              <w:right w:val="nil"/>
            </w:tcBorders>
          </w:tcPr>
          <w:p w14:paraId="55AD1392"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1</w:t>
            </w:r>
          </w:p>
        </w:tc>
        <w:tc>
          <w:tcPr>
            <w:tcW w:w="887" w:type="dxa"/>
            <w:tcBorders>
              <w:top w:val="double" w:sz="4" w:space="0" w:color="auto"/>
              <w:left w:val="nil"/>
              <w:bottom w:val="nil"/>
              <w:right w:val="nil"/>
            </w:tcBorders>
          </w:tcPr>
          <w:p w14:paraId="6BD4A313"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2</w:t>
            </w:r>
          </w:p>
        </w:tc>
        <w:tc>
          <w:tcPr>
            <w:tcW w:w="886" w:type="dxa"/>
            <w:tcBorders>
              <w:top w:val="double" w:sz="4" w:space="0" w:color="auto"/>
              <w:left w:val="nil"/>
              <w:bottom w:val="nil"/>
              <w:right w:val="nil"/>
            </w:tcBorders>
          </w:tcPr>
          <w:p w14:paraId="57810457"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3</w:t>
            </w:r>
          </w:p>
        </w:tc>
        <w:tc>
          <w:tcPr>
            <w:tcW w:w="885" w:type="dxa"/>
            <w:tcBorders>
              <w:top w:val="double" w:sz="4" w:space="0" w:color="auto"/>
              <w:left w:val="nil"/>
              <w:bottom w:val="nil"/>
              <w:right w:val="nil"/>
            </w:tcBorders>
          </w:tcPr>
          <w:p w14:paraId="0B9061F0"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4</w:t>
            </w:r>
          </w:p>
        </w:tc>
        <w:tc>
          <w:tcPr>
            <w:tcW w:w="887" w:type="dxa"/>
            <w:tcBorders>
              <w:top w:val="double" w:sz="4" w:space="0" w:color="auto"/>
              <w:left w:val="nil"/>
              <w:bottom w:val="nil"/>
              <w:right w:val="nil"/>
            </w:tcBorders>
          </w:tcPr>
          <w:p w14:paraId="3D09EFFB"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5</w:t>
            </w:r>
          </w:p>
        </w:tc>
        <w:tc>
          <w:tcPr>
            <w:tcW w:w="886" w:type="dxa"/>
            <w:tcBorders>
              <w:top w:val="double" w:sz="4" w:space="0" w:color="auto"/>
              <w:left w:val="nil"/>
              <w:bottom w:val="nil"/>
              <w:right w:val="nil"/>
            </w:tcBorders>
          </w:tcPr>
          <w:p w14:paraId="41484813"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6</w:t>
            </w:r>
          </w:p>
        </w:tc>
        <w:tc>
          <w:tcPr>
            <w:tcW w:w="887" w:type="dxa"/>
            <w:tcBorders>
              <w:top w:val="double" w:sz="4" w:space="0" w:color="auto"/>
              <w:left w:val="nil"/>
              <w:bottom w:val="nil"/>
              <w:right w:val="nil"/>
            </w:tcBorders>
          </w:tcPr>
          <w:p w14:paraId="0D01DD38"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7</w:t>
            </w:r>
          </w:p>
        </w:tc>
        <w:tc>
          <w:tcPr>
            <w:tcW w:w="886" w:type="dxa"/>
            <w:tcBorders>
              <w:top w:val="double" w:sz="4" w:space="0" w:color="auto"/>
              <w:left w:val="nil"/>
              <w:bottom w:val="nil"/>
              <w:right w:val="nil"/>
            </w:tcBorders>
          </w:tcPr>
          <w:p w14:paraId="1B90586E"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8</w:t>
            </w:r>
          </w:p>
        </w:tc>
        <w:tc>
          <w:tcPr>
            <w:tcW w:w="917" w:type="dxa"/>
            <w:tcBorders>
              <w:top w:val="double" w:sz="4" w:space="0" w:color="auto"/>
              <w:left w:val="nil"/>
              <w:bottom w:val="nil"/>
              <w:right w:val="nil"/>
            </w:tcBorders>
          </w:tcPr>
          <w:p w14:paraId="0B9D3873"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9</w:t>
            </w:r>
          </w:p>
        </w:tc>
        <w:tc>
          <w:tcPr>
            <w:tcW w:w="850" w:type="dxa"/>
            <w:tcBorders>
              <w:top w:val="double" w:sz="4" w:space="0" w:color="auto"/>
              <w:left w:val="nil"/>
              <w:bottom w:val="nil"/>
              <w:right w:val="nil"/>
            </w:tcBorders>
          </w:tcPr>
          <w:p w14:paraId="298B4801"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10</w:t>
            </w:r>
          </w:p>
        </w:tc>
      </w:tr>
      <w:tr w:rsidR="009C4AE1" w:rsidRPr="000276E5" w14:paraId="2C02965E" w14:textId="77777777" w:rsidTr="00BA7963">
        <w:tc>
          <w:tcPr>
            <w:tcW w:w="456" w:type="dxa"/>
            <w:tcBorders>
              <w:top w:val="nil"/>
              <w:left w:val="nil"/>
              <w:bottom w:val="nil"/>
              <w:right w:val="nil"/>
            </w:tcBorders>
          </w:tcPr>
          <w:p w14:paraId="05099ED2"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1</w:t>
            </w:r>
          </w:p>
        </w:tc>
        <w:tc>
          <w:tcPr>
            <w:tcW w:w="3977" w:type="dxa"/>
            <w:tcBorders>
              <w:top w:val="nil"/>
              <w:left w:val="nil"/>
              <w:bottom w:val="nil"/>
              <w:right w:val="nil"/>
            </w:tcBorders>
            <w:vAlign w:val="bottom"/>
          </w:tcPr>
          <w:p w14:paraId="5D1E89E5" w14:textId="77777777" w:rsidR="009C4AE1" w:rsidRPr="000276E5" w:rsidRDefault="009C4AE1" w:rsidP="00BA7963">
            <w:pPr>
              <w:spacing w:line="340" w:lineRule="exact"/>
              <w:rPr>
                <w:rFonts w:ascii="Times New Roman" w:hAnsi="Times New Roman" w:cs="Times New Roman"/>
                <w:color w:val="000000" w:themeColor="text1"/>
                <w:sz w:val="24"/>
                <w:szCs w:val="24"/>
                <w:lang w:val="en-GB"/>
              </w:rPr>
            </w:pPr>
            <w:r w:rsidRPr="000276E5">
              <w:rPr>
                <w:rFonts w:ascii="Times New Roman" w:hAnsi="Times New Roman" w:cs="Times New Roman"/>
                <w:color w:val="000000" w:themeColor="text1"/>
                <w:sz w:val="24"/>
                <w:szCs w:val="24"/>
                <w:lang w:val="en-GB"/>
              </w:rPr>
              <w:t>Return on asset (ROA)</w:t>
            </w:r>
          </w:p>
        </w:tc>
        <w:tc>
          <w:tcPr>
            <w:tcW w:w="884" w:type="dxa"/>
            <w:tcBorders>
              <w:top w:val="nil"/>
              <w:left w:val="nil"/>
              <w:bottom w:val="nil"/>
              <w:right w:val="nil"/>
            </w:tcBorders>
          </w:tcPr>
          <w:p w14:paraId="779D0B73" w14:textId="77777777" w:rsidR="009C4AE1" w:rsidRDefault="009C4AE1" w:rsidP="00BA7963">
            <w:pPr>
              <w:jc w:val="center"/>
            </w:pPr>
            <w:r>
              <w:rPr>
                <w:rFonts w:ascii="Times New Roman" w:hAnsi="Times New Roman" w:cs="Times New Roman"/>
                <w:sz w:val="24"/>
                <w:szCs w:val="24"/>
              </w:rPr>
              <w:t>1</w:t>
            </w:r>
            <w:r w:rsidRPr="00FD6F91">
              <w:rPr>
                <w:rFonts w:ascii="Times New Roman" w:hAnsi="Times New Roman" w:cs="Times New Roman"/>
                <w:sz w:val="24"/>
                <w:szCs w:val="24"/>
              </w:rPr>
              <w:t>.0</w:t>
            </w:r>
            <w:r>
              <w:rPr>
                <w:rFonts w:ascii="Times New Roman" w:hAnsi="Times New Roman" w:cs="Times New Roman"/>
                <w:sz w:val="24"/>
                <w:szCs w:val="24"/>
              </w:rPr>
              <w:t>0</w:t>
            </w:r>
          </w:p>
        </w:tc>
        <w:tc>
          <w:tcPr>
            <w:tcW w:w="887" w:type="dxa"/>
            <w:tcBorders>
              <w:top w:val="nil"/>
              <w:left w:val="nil"/>
              <w:bottom w:val="nil"/>
              <w:right w:val="nil"/>
            </w:tcBorders>
          </w:tcPr>
          <w:p w14:paraId="5ECD453E" w14:textId="77777777" w:rsidR="009C4AE1" w:rsidRDefault="009C4AE1" w:rsidP="00BA7963">
            <w:pPr>
              <w:jc w:val="both"/>
            </w:pPr>
          </w:p>
        </w:tc>
        <w:tc>
          <w:tcPr>
            <w:tcW w:w="886" w:type="dxa"/>
            <w:tcBorders>
              <w:top w:val="nil"/>
              <w:left w:val="nil"/>
              <w:bottom w:val="nil"/>
              <w:right w:val="nil"/>
            </w:tcBorders>
          </w:tcPr>
          <w:p w14:paraId="03E64F24" w14:textId="77777777" w:rsidR="009C4AE1" w:rsidRPr="000276E5" w:rsidRDefault="009C4AE1" w:rsidP="00BA7963">
            <w:pPr>
              <w:jc w:val="right"/>
              <w:rPr>
                <w:rFonts w:ascii="Times New Roman" w:hAnsi="Times New Roman" w:cs="Times New Roman"/>
                <w:sz w:val="24"/>
                <w:szCs w:val="24"/>
              </w:rPr>
            </w:pPr>
          </w:p>
        </w:tc>
        <w:tc>
          <w:tcPr>
            <w:tcW w:w="885" w:type="dxa"/>
            <w:tcBorders>
              <w:top w:val="nil"/>
              <w:left w:val="nil"/>
              <w:bottom w:val="nil"/>
              <w:right w:val="nil"/>
            </w:tcBorders>
          </w:tcPr>
          <w:p w14:paraId="3576D5F8" w14:textId="77777777" w:rsidR="009C4AE1" w:rsidRPr="000276E5" w:rsidRDefault="009C4AE1" w:rsidP="00BA7963">
            <w:pPr>
              <w:jc w:val="right"/>
              <w:rPr>
                <w:rFonts w:ascii="Times New Roman" w:hAnsi="Times New Roman" w:cs="Times New Roman"/>
                <w:sz w:val="24"/>
                <w:szCs w:val="24"/>
              </w:rPr>
            </w:pPr>
          </w:p>
        </w:tc>
        <w:tc>
          <w:tcPr>
            <w:tcW w:w="887" w:type="dxa"/>
            <w:tcBorders>
              <w:top w:val="nil"/>
              <w:left w:val="nil"/>
              <w:bottom w:val="nil"/>
              <w:right w:val="nil"/>
            </w:tcBorders>
          </w:tcPr>
          <w:p w14:paraId="2AFB6648" w14:textId="77777777" w:rsidR="009C4AE1" w:rsidRPr="000276E5" w:rsidRDefault="009C4AE1" w:rsidP="00BA7963">
            <w:pPr>
              <w:jc w:val="right"/>
              <w:rPr>
                <w:rFonts w:ascii="Times New Roman" w:hAnsi="Times New Roman" w:cs="Times New Roman"/>
                <w:sz w:val="24"/>
                <w:szCs w:val="24"/>
              </w:rPr>
            </w:pPr>
          </w:p>
        </w:tc>
        <w:tc>
          <w:tcPr>
            <w:tcW w:w="886" w:type="dxa"/>
            <w:tcBorders>
              <w:top w:val="nil"/>
              <w:left w:val="nil"/>
              <w:bottom w:val="nil"/>
              <w:right w:val="nil"/>
            </w:tcBorders>
          </w:tcPr>
          <w:p w14:paraId="098FB42C" w14:textId="77777777" w:rsidR="009C4AE1" w:rsidRPr="000276E5" w:rsidRDefault="009C4AE1" w:rsidP="00BA7963">
            <w:pPr>
              <w:jc w:val="right"/>
              <w:rPr>
                <w:rFonts w:ascii="Times New Roman" w:hAnsi="Times New Roman" w:cs="Times New Roman"/>
                <w:sz w:val="24"/>
                <w:szCs w:val="24"/>
              </w:rPr>
            </w:pPr>
          </w:p>
        </w:tc>
        <w:tc>
          <w:tcPr>
            <w:tcW w:w="887" w:type="dxa"/>
            <w:tcBorders>
              <w:top w:val="nil"/>
              <w:left w:val="nil"/>
              <w:bottom w:val="nil"/>
              <w:right w:val="nil"/>
            </w:tcBorders>
          </w:tcPr>
          <w:p w14:paraId="68FFB18E" w14:textId="77777777" w:rsidR="009C4AE1" w:rsidRPr="000276E5" w:rsidRDefault="009C4AE1" w:rsidP="00BA7963">
            <w:pPr>
              <w:jc w:val="right"/>
              <w:rPr>
                <w:rFonts w:ascii="Times New Roman" w:hAnsi="Times New Roman" w:cs="Times New Roman"/>
                <w:sz w:val="24"/>
                <w:szCs w:val="24"/>
              </w:rPr>
            </w:pPr>
          </w:p>
        </w:tc>
        <w:tc>
          <w:tcPr>
            <w:tcW w:w="886" w:type="dxa"/>
            <w:tcBorders>
              <w:top w:val="nil"/>
              <w:left w:val="nil"/>
              <w:bottom w:val="nil"/>
              <w:right w:val="nil"/>
            </w:tcBorders>
          </w:tcPr>
          <w:p w14:paraId="344B8FEB" w14:textId="77777777" w:rsidR="009C4AE1" w:rsidRPr="000276E5" w:rsidRDefault="009C4AE1" w:rsidP="00BA7963">
            <w:pPr>
              <w:jc w:val="right"/>
              <w:rPr>
                <w:rFonts w:ascii="Times New Roman" w:hAnsi="Times New Roman" w:cs="Times New Roman"/>
                <w:sz w:val="24"/>
                <w:szCs w:val="24"/>
              </w:rPr>
            </w:pPr>
          </w:p>
        </w:tc>
        <w:tc>
          <w:tcPr>
            <w:tcW w:w="917" w:type="dxa"/>
            <w:tcBorders>
              <w:top w:val="nil"/>
              <w:left w:val="nil"/>
              <w:bottom w:val="nil"/>
              <w:right w:val="nil"/>
            </w:tcBorders>
          </w:tcPr>
          <w:p w14:paraId="51DD0376" w14:textId="77777777" w:rsidR="009C4AE1" w:rsidRPr="000276E5" w:rsidRDefault="009C4AE1" w:rsidP="00BA7963">
            <w:pPr>
              <w:jc w:val="right"/>
              <w:rPr>
                <w:rFonts w:ascii="Times New Roman" w:hAnsi="Times New Roman" w:cs="Times New Roman"/>
                <w:sz w:val="24"/>
                <w:szCs w:val="24"/>
              </w:rPr>
            </w:pPr>
          </w:p>
        </w:tc>
        <w:tc>
          <w:tcPr>
            <w:tcW w:w="850" w:type="dxa"/>
            <w:tcBorders>
              <w:top w:val="nil"/>
              <w:left w:val="nil"/>
              <w:bottom w:val="nil"/>
              <w:right w:val="nil"/>
            </w:tcBorders>
          </w:tcPr>
          <w:p w14:paraId="26DA9E96" w14:textId="77777777" w:rsidR="009C4AE1" w:rsidRPr="000276E5" w:rsidRDefault="009C4AE1" w:rsidP="00BA7963">
            <w:pPr>
              <w:jc w:val="right"/>
              <w:rPr>
                <w:rFonts w:ascii="Times New Roman" w:hAnsi="Times New Roman" w:cs="Times New Roman"/>
                <w:sz w:val="24"/>
                <w:szCs w:val="24"/>
              </w:rPr>
            </w:pPr>
          </w:p>
        </w:tc>
      </w:tr>
      <w:tr w:rsidR="009C4AE1" w:rsidRPr="000276E5" w14:paraId="1437886F" w14:textId="77777777" w:rsidTr="00BA7963">
        <w:tc>
          <w:tcPr>
            <w:tcW w:w="456" w:type="dxa"/>
            <w:tcBorders>
              <w:top w:val="nil"/>
              <w:left w:val="nil"/>
              <w:bottom w:val="nil"/>
              <w:right w:val="nil"/>
            </w:tcBorders>
          </w:tcPr>
          <w:p w14:paraId="7A4F5EA0"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2</w:t>
            </w:r>
          </w:p>
        </w:tc>
        <w:tc>
          <w:tcPr>
            <w:tcW w:w="3977" w:type="dxa"/>
            <w:tcBorders>
              <w:top w:val="nil"/>
              <w:left w:val="nil"/>
              <w:bottom w:val="nil"/>
              <w:right w:val="nil"/>
            </w:tcBorders>
            <w:vAlign w:val="bottom"/>
          </w:tcPr>
          <w:p w14:paraId="51EE0F18" w14:textId="77777777" w:rsidR="009C4AE1" w:rsidRPr="000276E5" w:rsidRDefault="009C4AE1" w:rsidP="00BA7963">
            <w:pPr>
              <w:spacing w:line="340" w:lineRule="exact"/>
              <w:rPr>
                <w:rFonts w:ascii="Times New Roman" w:hAnsi="Times New Roman" w:cs="Times New Roman"/>
                <w:color w:val="000000" w:themeColor="text1"/>
                <w:sz w:val="24"/>
                <w:szCs w:val="24"/>
                <w:highlight w:val="blue"/>
                <w:lang w:val="en-GB"/>
              </w:rPr>
            </w:pPr>
            <w:r w:rsidRPr="000276E5">
              <w:rPr>
                <w:rFonts w:ascii="Times New Roman" w:hAnsi="Times New Roman" w:cs="Times New Roman"/>
                <w:color w:val="000000" w:themeColor="text1"/>
                <w:sz w:val="24"/>
                <w:szCs w:val="24"/>
                <w:lang w:val="en-GB"/>
              </w:rPr>
              <w:t>Tobin’s Q</w:t>
            </w:r>
          </w:p>
        </w:tc>
        <w:tc>
          <w:tcPr>
            <w:tcW w:w="884" w:type="dxa"/>
            <w:tcBorders>
              <w:top w:val="nil"/>
              <w:left w:val="nil"/>
              <w:bottom w:val="nil"/>
              <w:right w:val="nil"/>
            </w:tcBorders>
          </w:tcPr>
          <w:p w14:paraId="34C5E602" w14:textId="77777777" w:rsidR="009C4AE1" w:rsidRDefault="009C4AE1" w:rsidP="00BA7963">
            <w:pPr>
              <w:jc w:val="center"/>
            </w:pPr>
            <w:r w:rsidRPr="00FD6F91">
              <w:rPr>
                <w:rFonts w:ascii="Times New Roman" w:hAnsi="Times New Roman" w:cs="Times New Roman"/>
                <w:sz w:val="24"/>
                <w:szCs w:val="24"/>
              </w:rPr>
              <w:t>0.0</w:t>
            </w:r>
            <w:r>
              <w:rPr>
                <w:rFonts w:ascii="Times New Roman" w:hAnsi="Times New Roman" w:cs="Times New Roman"/>
                <w:sz w:val="24"/>
                <w:szCs w:val="24"/>
              </w:rPr>
              <w:t>8*</w:t>
            </w:r>
          </w:p>
        </w:tc>
        <w:tc>
          <w:tcPr>
            <w:tcW w:w="887" w:type="dxa"/>
            <w:tcBorders>
              <w:top w:val="nil"/>
              <w:left w:val="nil"/>
              <w:bottom w:val="nil"/>
              <w:right w:val="nil"/>
            </w:tcBorders>
          </w:tcPr>
          <w:p w14:paraId="2715AFD9" w14:textId="77777777" w:rsidR="009C4AE1" w:rsidRDefault="009C4AE1" w:rsidP="00BA7963">
            <w:pPr>
              <w:jc w:val="both"/>
            </w:pPr>
            <w:r>
              <w:rPr>
                <w:rFonts w:ascii="Times New Roman" w:hAnsi="Times New Roman" w:cs="Times New Roman"/>
                <w:sz w:val="24"/>
                <w:szCs w:val="24"/>
              </w:rPr>
              <w:t xml:space="preserve"> 1</w:t>
            </w:r>
            <w:r w:rsidRPr="00FC4309">
              <w:rPr>
                <w:rFonts w:ascii="Times New Roman" w:hAnsi="Times New Roman" w:cs="Times New Roman"/>
                <w:sz w:val="24"/>
                <w:szCs w:val="24"/>
              </w:rPr>
              <w:t>.0</w:t>
            </w:r>
            <w:r>
              <w:rPr>
                <w:rFonts w:ascii="Times New Roman" w:hAnsi="Times New Roman" w:cs="Times New Roman"/>
                <w:sz w:val="24"/>
                <w:szCs w:val="24"/>
              </w:rPr>
              <w:t>0</w:t>
            </w:r>
          </w:p>
        </w:tc>
        <w:tc>
          <w:tcPr>
            <w:tcW w:w="886" w:type="dxa"/>
            <w:tcBorders>
              <w:top w:val="nil"/>
              <w:left w:val="nil"/>
              <w:bottom w:val="nil"/>
              <w:right w:val="nil"/>
            </w:tcBorders>
          </w:tcPr>
          <w:p w14:paraId="0607D880" w14:textId="77777777" w:rsidR="009C4AE1" w:rsidRPr="000276E5" w:rsidRDefault="009C4AE1" w:rsidP="00BA7963">
            <w:pPr>
              <w:jc w:val="right"/>
              <w:rPr>
                <w:rFonts w:ascii="Times New Roman" w:hAnsi="Times New Roman" w:cs="Times New Roman"/>
                <w:sz w:val="24"/>
                <w:szCs w:val="24"/>
              </w:rPr>
            </w:pPr>
          </w:p>
        </w:tc>
        <w:tc>
          <w:tcPr>
            <w:tcW w:w="885" w:type="dxa"/>
            <w:tcBorders>
              <w:top w:val="nil"/>
              <w:left w:val="nil"/>
              <w:bottom w:val="nil"/>
              <w:right w:val="nil"/>
            </w:tcBorders>
          </w:tcPr>
          <w:p w14:paraId="7609509B" w14:textId="77777777" w:rsidR="009C4AE1" w:rsidRPr="000276E5" w:rsidRDefault="009C4AE1" w:rsidP="00BA7963">
            <w:pPr>
              <w:jc w:val="right"/>
              <w:rPr>
                <w:rFonts w:ascii="Times New Roman" w:hAnsi="Times New Roman" w:cs="Times New Roman"/>
                <w:sz w:val="24"/>
                <w:szCs w:val="24"/>
              </w:rPr>
            </w:pPr>
          </w:p>
        </w:tc>
        <w:tc>
          <w:tcPr>
            <w:tcW w:w="887" w:type="dxa"/>
            <w:tcBorders>
              <w:top w:val="nil"/>
              <w:left w:val="nil"/>
              <w:bottom w:val="nil"/>
              <w:right w:val="nil"/>
            </w:tcBorders>
          </w:tcPr>
          <w:p w14:paraId="5E664DA8" w14:textId="77777777" w:rsidR="009C4AE1" w:rsidRPr="000276E5" w:rsidRDefault="009C4AE1" w:rsidP="00BA7963">
            <w:pPr>
              <w:jc w:val="right"/>
              <w:rPr>
                <w:rFonts w:ascii="Times New Roman" w:hAnsi="Times New Roman" w:cs="Times New Roman"/>
                <w:sz w:val="24"/>
                <w:szCs w:val="24"/>
              </w:rPr>
            </w:pPr>
          </w:p>
        </w:tc>
        <w:tc>
          <w:tcPr>
            <w:tcW w:w="886" w:type="dxa"/>
            <w:tcBorders>
              <w:top w:val="nil"/>
              <w:left w:val="nil"/>
              <w:bottom w:val="nil"/>
              <w:right w:val="nil"/>
            </w:tcBorders>
          </w:tcPr>
          <w:p w14:paraId="15BE0FE8" w14:textId="77777777" w:rsidR="009C4AE1" w:rsidRPr="000276E5" w:rsidRDefault="009C4AE1" w:rsidP="00BA7963">
            <w:pPr>
              <w:jc w:val="right"/>
              <w:rPr>
                <w:rFonts w:ascii="Times New Roman" w:hAnsi="Times New Roman" w:cs="Times New Roman"/>
                <w:sz w:val="24"/>
                <w:szCs w:val="24"/>
              </w:rPr>
            </w:pPr>
          </w:p>
        </w:tc>
        <w:tc>
          <w:tcPr>
            <w:tcW w:w="887" w:type="dxa"/>
            <w:tcBorders>
              <w:top w:val="nil"/>
              <w:left w:val="nil"/>
              <w:bottom w:val="nil"/>
              <w:right w:val="nil"/>
            </w:tcBorders>
          </w:tcPr>
          <w:p w14:paraId="37750402" w14:textId="77777777" w:rsidR="009C4AE1" w:rsidRPr="000276E5" w:rsidRDefault="009C4AE1" w:rsidP="00BA7963">
            <w:pPr>
              <w:jc w:val="right"/>
              <w:rPr>
                <w:rFonts w:ascii="Times New Roman" w:hAnsi="Times New Roman" w:cs="Times New Roman"/>
                <w:sz w:val="24"/>
                <w:szCs w:val="24"/>
              </w:rPr>
            </w:pPr>
          </w:p>
        </w:tc>
        <w:tc>
          <w:tcPr>
            <w:tcW w:w="886" w:type="dxa"/>
            <w:tcBorders>
              <w:top w:val="nil"/>
              <w:left w:val="nil"/>
              <w:bottom w:val="nil"/>
              <w:right w:val="nil"/>
            </w:tcBorders>
          </w:tcPr>
          <w:p w14:paraId="1F279A91" w14:textId="77777777" w:rsidR="009C4AE1" w:rsidRPr="000276E5" w:rsidRDefault="009C4AE1" w:rsidP="00BA7963">
            <w:pPr>
              <w:jc w:val="right"/>
              <w:rPr>
                <w:rFonts w:ascii="Times New Roman" w:hAnsi="Times New Roman" w:cs="Times New Roman"/>
                <w:sz w:val="24"/>
                <w:szCs w:val="24"/>
              </w:rPr>
            </w:pPr>
          </w:p>
        </w:tc>
        <w:tc>
          <w:tcPr>
            <w:tcW w:w="917" w:type="dxa"/>
            <w:tcBorders>
              <w:top w:val="nil"/>
              <w:left w:val="nil"/>
              <w:bottom w:val="nil"/>
              <w:right w:val="nil"/>
            </w:tcBorders>
          </w:tcPr>
          <w:p w14:paraId="4D617E59" w14:textId="77777777" w:rsidR="009C4AE1" w:rsidRPr="000276E5" w:rsidRDefault="009C4AE1" w:rsidP="00BA7963">
            <w:pPr>
              <w:jc w:val="right"/>
              <w:rPr>
                <w:rFonts w:ascii="Times New Roman" w:hAnsi="Times New Roman" w:cs="Times New Roman"/>
                <w:sz w:val="24"/>
                <w:szCs w:val="24"/>
              </w:rPr>
            </w:pPr>
          </w:p>
        </w:tc>
        <w:tc>
          <w:tcPr>
            <w:tcW w:w="850" w:type="dxa"/>
            <w:tcBorders>
              <w:top w:val="nil"/>
              <w:left w:val="nil"/>
              <w:bottom w:val="nil"/>
              <w:right w:val="nil"/>
            </w:tcBorders>
          </w:tcPr>
          <w:p w14:paraId="3038F5B9" w14:textId="77777777" w:rsidR="009C4AE1" w:rsidRPr="000276E5" w:rsidRDefault="009C4AE1" w:rsidP="00BA7963">
            <w:pPr>
              <w:jc w:val="right"/>
              <w:rPr>
                <w:rFonts w:ascii="Times New Roman" w:hAnsi="Times New Roman" w:cs="Times New Roman"/>
                <w:sz w:val="24"/>
                <w:szCs w:val="24"/>
              </w:rPr>
            </w:pPr>
          </w:p>
        </w:tc>
      </w:tr>
      <w:tr w:rsidR="009C4AE1" w:rsidRPr="000276E5" w14:paraId="0F2BF790" w14:textId="77777777" w:rsidTr="00BA7963">
        <w:tc>
          <w:tcPr>
            <w:tcW w:w="456" w:type="dxa"/>
            <w:tcBorders>
              <w:top w:val="nil"/>
              <w:left w:val="nil"/>
              <w:bottom w:val="nil"/>
              <w:right w:val="nil"/>
            </w:tcBorders>
          </w:tcPr>
          <w:p w14:paraId="3179D614"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3</w:t>
            </w:r>
          </w:p>
        </w:tc>
        <w:tc>
          <w:tcPr>
            <w:tcW w:w="3977" w:type="dxa"/>
            <w:tcBorders>
              <w:top w:val="nil"/>
              <w:left w:val="nil"/>
              <w:bottom w:val="nil"/>
              <w:right w:val="nil"/>
            </w:tcBorders>
            <w:vAlign w:val="bottom"/>
          </w:tcPr>
          <w:p w14:paraId="2A16893F"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sz w:val="24"/>
                <w:szCs w:val="24"/>
              </w:rPr>
              <w:t>Emission</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reduction</w:t>
            </w:r>
            <w:proofErr w:type="spellEnd"/>
            <w:r w:rsidRPr="000276E5">
              <w:rPr>
                <w:rFonts w:ascii="Times New Roman" w:hAnsi="Times New Roman" w:cs="Times New Roman"/>
                <w:sz w:val="24"/>
                <w:szCs w:val="24"/>
              </w:rPr>
              <w:t xml:space="preserve"> – </w:t>
            </w:r>
            <w:proofErr w:type="spellStart"/>
            <w:r w:rsidRPr="000276E5">
              <w:rPr>
                <w:rFonts w:ascii="Times New Roman" w:hAnsi="Times New Roman" w:cs="Times New Roman"/>
                <w:sz w:val="24"/>
                <w:szCs w:val="24"/>
              </w:rPr>
              <w:t>Buyer</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level</w:t>
            </w:r>
            <w:proofErr w:type="spellEnd"/>
            <w:r w:rsidRPr="000276E5">
              <w:rPr>
                <w:rFonts w:ascii="Times New Roman" w:hAnsi="Times New Roman" w:cs="Times New Roman"/>
                <w:sz w:val="24"/>
                <w:szCs w:val="24"/>
              </w:rPr>
              <w:t xml:space="preserve"> </w:t>
            </w:r>
            <w:r w:rsidRPr="000276E5">
              <w:rPr>
                <w:rFonts w:ascii="Times New Roman" w:hAnsi="Times New Roman" w:cs="Times New Roman"/>
                <w:sz w:val="24"/>
                <w:szCs w:val="24"/>
                <w:vertAlign w:val="superscript"/>
              </w:rPr>
              <w:t>(1)</w:t>
            </w:r>
          </w:p>
        </w:tc>
        <w:tc>
          <w:tcPr>
            <w:tcW w:w="884" w:type="dxa"/>
            <w:tcBorders>
              <w:top w:val="nil"/>
              <w:left w:val="nil"/>
              <w:bottom w:val="nil"/>
              <w:right w:val="nil"/>
            </w:tcBorders>
          </w:tcPr>
          <w:p w14:paraId="3D9BF068"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0.05*</w:t>
            </w:r>
          </w:p>
        </w:tc>
        <w:tc>
          <w:tcPr>
            <w:tcW w:w="887" w:type="dxa"/>
            <w:tcBorders>
              <w:top w:val="nil"/>
              <w:left w:val="nil"/>
              <w:bottom w:val="nil"/>
              <w:right w:val="nil"/>
            </w:tcBorders>
          </w:tcPr>
          <w:p w14:paraId="22629A4D"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7</w:t>
            </w:r>
            <w:r w:rsidRPr="00FC4309">
              <w:rPr>
                <w:rFonts w:ascii="Times New Roman" w:hAnsi="Times New Roman" w:cs="Times New Roman"/>
                <w:sz w:val="24"/>
                <w:szCs w:val="24"/>
              </w:rPr>
              <w:t>*</w:t>
            </w:r>
          </w:p>
        </w:tc>
        <w:tc>
          <w:tcPr>
            <w:tcW w:w="886" w:type="dxa"/>
            <w:tcBorders>
              <w:top w:val="nil"/>
              <w:left w:val="nil"/>
              <w:bottom w:val="nil"/>
              <w:right w:val="nil"/>
            </w:tcBorders>
          </w:tcPr>
          <w:p w14:paraId="3BC6519E"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1.00</w:t>
            </w:r>
          </w:p>
        </w:tc>
        <w:tc>
          <w:tcPr>
            <w:tcW w:w="885" w:type="dxa"/>
            <w:tcBorders>
              <w:top w:val="nil"/>
              <w:left w:val="nil"/>
              <w:bottom w:val="nil"/>
              <w:right w:val="nil"/>
            </w:tcBorders>
          </w:tcPr>
          <w:p w14:paraId="4235E57A" w14:textId="77777777" w:rsidR="009C4AE1" w:rsidRPr="000276E5" w:rsidRDefault="009C4AE1" w:rsidP="00BA7963">
            <w:pPr>
              <w:rPr>
                <w:rFonts w:ascii="Times New Roman" w:hAnsi="Times New Roman" w:cs="Times New Roman"/>
                <w:sz w:val="24"/>
                <w:szCs w:val="24"/>
                <w:lang w:val="en-GB"/>
              </w:rPr>
            </w:pPr>
          </w:p>
        </w:tc>
        <w:tc>
          <w:tcPr>
            <w:tcW w:w="887" w:type="dxa"/>
            <w:tcBorders>
              <w:top w:val="nil"/>
              <w:left w:val="nil"/>
              <w:bottom w:val="nil"/>
              <w:right w:val="nil"/>
            </w:tcBorders>
          </w:tcPr>
          <w:p w14:paraId="28B15350" w14:textId="77777777" w:rsidR="009C4AE1" w:rsidRPr="000276E5" w:rsidRDefault="009C4AE1" w:rsidP="00BA7963">
            <w:pPr>
              <w:rPr>
                <w:rFonts w:ascii="Times New Roman" w:hAnsi="Times New Roman" w:cs="Times New Roman"/>
                <w:sz w:val="24"/>
                <w:szCs w:val="24"/>
                <w:lang w:val="en-GB"/>
              </w:rPr>
            </w:pPr>
          </w:p>
        </w:tc>
        <w:tc>
          <w:tcPr>
            <w:tcW w:w="886" w:type="dxa"/>
            <w:tcBorders>
              <w:top w:val="nil"/>
              <w:left w:val="nil"/>
              <w:bottom w:val="nil"/>
              <w:right w:val="nil"/>
            </w:tcBorders>
          </w:tcPr>
          <w:p w14:paraId="35D5DD4F" w14:textId="77777777" w:rsidR="009C4AE1" w:rsidRPr="000276E5" w:rsidRDefault="009C4AE1" w:rsidP="00BA7963">
            <w:pPr>
              <w:rPr>
                <w:rFonts w:ascii="Times New Roman" w:hAnsi="Times New Roman" w:cs="Times New Roman"/>
                <w:sz w:val="24"/>
                <w:szCs w:val="24"/>
                <w:lang w:val="en-GB"/>
              </w:rPr>
            </w:pPr>
          </w:p>
        </w:tc>
        <w:tc>
          <w:tcPr>
            <w:tcW w:w="887" w:type="dxa"/>
            <w:tcBorders>
              <w:top w:val="nil"/>
              <w:left w:val="nil"/>
              <w:bottom w:val="nil"/>
              <w:right w:val="nil"/>
            </w:tcBorders>
          </w:tcPr>
          <w:p w14:paraId="6897F0D8" w14:textId="77777777" w:rsidR="009C4AE1" w:rsidRPr="000276E5" w:rsidRDefault="009C4AE1" w:rsidP="00BA7963">
            <w:pPr>
              <w:rPr>
                <w:rFonts w:ascii="Times New Roman" w:hAnsi="Times New Roman" w:cs="Times New Roman"/>
                <w:sz w:val="24"/>
                <w:szCs w:val="24"/>
                <w:lang w:val="en-GB"/>
              </w:rPr>
            </w:pPr>
          </w:p>
        </w:tc>
        <w:tc>
          <w:tcPr>
            <w:tcW w:w="886" w:type="dxa"/>
            <w:tcBorders>
              <w:top w:val="nil"/>
              <w:left w:val="nil"/>
              <w:bottom w:val="nil"/>
              <w:right w:val="nil"/>
            </w:tcBorders>
          </w:tcPr>
          <w:p w14:paraId="27FF83CF" w14:textId="77777777" w:rsidR="009C4AE1" w:rsidRPr="000276E5" w:rsidRDefault="009C4AE1" w:rsidP="00BA7963">
            <w:pPr>
              <w:rPr>
                <w:rFonts w:ascii="Times New Roman" w:hAnsi="Times New Roman" w:cs="Times New Roman"/>
                <w:sz w:val="24"/>
                <w:szCs w:val="24"/>
                <w:lang w:val="en-GB"/>
              </w:rPr>
            </w:pPr>
          </w:p>
        </w:tc>
        <w:tc>
          <w:tcPr>
            <w:tcW w:w="917" w:type="dxa"/>
            <w:tcBorders>
              <w:top w:val="nil"/>
              <w:left w:val="nil"/>
              <w:bottom w:val="nil"/>
              <w:right w:val="nil"/>
            </w:tcBorders>
          </w:tcPr>
          <w:p w14:paraId="107060E9" w14:textId="77777777" w:rsidR="009C4AE1" w:rsidRPr="000276E5" w:rsidRDefault="009C4AE1" w:rsidP="00BA7963">
            <w:pPr>
              <w:rPr>
                <w:rFonts w:ascii="Times New Roman" w:hAnsi="Times New Roman" w:cs="Times New Roman"/>
                <w:sz w:val="24"/>
                <w:szCs w:val="24"/>
                <w:lang w:val="en-GB"/>
              </w:rPr>
            </w:pPr>
          </w:p>
        </w:tc>
        <w:tc>
          <w:tcPr>
            <w:tcW w:w="850" w:type="dxa"/>
            <w:tcBorders>
              <w:top w:val="nil"/>
              <w:left w:val="nil"/>
              <w:bottom w:val="nil"/>
              <w:right w:val="nil"/>
            </w:tcBorders>
          </w:tcPr>
          <w:p w14:paraId="424293C6" w14:textId="77777777" w:rsidR="009C4AE1" w:rsidRPr="000276E5" w:rsidRDefault="009C4AE1" w:rsidP="00BA7963">
            <w:pPr>
              <w:rPr>
                <w:rFonts w:ascii="Times New Roman" w:hAnsi="Times New Roman" w:cs="Times New Roman"/>
                <w:sz w:val="24"/>
                <w:szCs w:val="24"/>
                <w:lang w:val="en-GB"/>
              </w:rPr>
            </w:pPr>
          </w:p>
        </w:tc>
      </w:tr>
      <w:tr w:rsidR="009C4AE1" w:rsidRPr="000276E5" w14:paraId="4613DC02" w14:textId="77777777" w:rsidTr="00BA7963">
        <w:tc>
          <w:tcPr>
            <w:tcW w:w="456" w:type="dxa"/>
            <w:tcBorders>
              <w:top w:val="nil"/>
              <w:left w:val="nil"/>
              <w:bottom w:val="nil"/>
              <w:right w:val="nil"/>
            </w:tcBorders>
          </w:tcPr>
          <w:p w14:paraId="24C5009E"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4</w:t>
            </w:r>
          </w:p>
        </w:tc>
        <w:tc>
          <w:tcPr>
            <w:tcW w:w="3977" w:type="dxa"/>
            <w:tcBorders>
              <w:top w:val="nil"/>
              <w:left w:val="nil"/>
              <w:bottom w:val="nil"/>
              <w:right w:val="nil"/>
            </w:tcBorders>
            <w:vAlign w:val="bottom"/>
          </w:tcPr>
          <w:p w14:paraId="34B574CE"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sz w:val="24"/>
                <w:szCs w:val="24"/>
              </w:rPr>
              <w:t>Emission</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reduction</w:t>
            </w:r>
            <w:proofErr w:type="spellEnd"/>
            <w:r w:rsidRPr="000276E5">
              <w:rPr>
                <w:rFonts w:ascii="Times New Roman" w:hAnsi="Times New Roman" w:cs="Times New Roman"/>
                <w:sz w:val="24"/>
                <w:szCs w:val="24"/>
              </w:rPr>
              <w:t xml:space="preserve"> – </w:t>
            </w:r>
            <w:proofErr w:type="spellStart"/>
            <w:r w:rsidRPr="000276E5">
              <w:rPr>
                <w:rFonts w:ascii="Times New Roman" w:hAnsi="Times New Roman" w:cs="Times New Roman"/>
                <w:sz w:val="24"/>
                <w:szCs w:val="24"/>
              </w:rPr>
              <w:t>Supplier</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level</w:t>
            </w:r>
            <w:proofErr w:type="spellEnd"/>
            <w:r w:rsidRPr="000276E5">
              <w:rPr>
                <w:rFonts w:ascii="Times New Roman" w:hAnsi="Times New Roman" w:cs="Times New Roman"/>
                <w:sz w:val="24"/>
                <w:szCs w:val="24"/>
              </w:rPr>
              <w:t xml:space="preserve"> </w:t>
            </w:r>
            <w:r w:rsidRPr="000276E5">
              <w:rPr>
                <w:rFonts w:ascii="Times New Roman" w:hAnsi="Times New Roman" w:cs="Times New Roman"/>
                <w:sz w:val="24"/>
                <w:szCs w:val="24"/>
                <w:vertAlign w:val="superscript"/>
              </w:rPr>
              <w:t>(1)</w:t>
            </w:r>
          </w:p>
        </w:tc>
        <w:tc>
          <w:tcPr>
            <w:tcW w:w="884" w:type="dxa"/>
            <w:tcBorders>
              <w:top w:val="nil"/>
              <w:left w:val="nil"/>
              <w:bottom w:val="nil"/>
              <w:right w:val="nil"/>
            </w:tcBorders>
          </w:tcPr>
          <w:p w14:paraId="304EE0A6"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-0.10*</w:t>
            </w:r>
          </w:p>
        </w:tc>
        <w:tc>
          <w:tcPr>
            <w:tcW w:w="887" w:type="dxa"/>
            <w:tcBorders>
              <w:top w:val="nil"/>
              <w:left w:val="nil"/>
              <w:bottom w:val="nil"/>
              <w:right w:val="nil"/>
            </w:tcBorders>
          </w:tcPr>
          <w:p w14:paraId="5D0D03AA"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6</w:t>
            </w:r>
            <w:r w:rsidRPr="00FC4309">
              <w:rPr>
                <w:rFonts w:ascii="Times New Roman" w:hAnsi="Times New Roman" w:cs="Times New Roman"/>
                <w:sz w:val="24"/>
                <w:szCs w:val="24"/>
              </w:rPr>
              <w:t>*</w:t>
            </w:r>
          </w:p>
        </w:tc>
        <w:tc>
          <w:tcPr>
            <w:tcW w:w="886" w:type="dxa"/>
            <w:tcBorders>
              <w:top w:val="nil"/>
              <w:left w:val="nil"/>
              <w:bottom w:val="nil"/>
              <w:right w:val="nil"/>
            </w:tcBorders>
          </w:tcPr>
          <w:p w14:paraId="575275E9"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-0.28*</w:t>
            </w:r>
          </w:p>
        </w:tc>
        <w:tc>
          <w:tcPr>
            <w:tcW w:w="885" w:type="dxa"/>
            <w:tcBorders>
              <w:top w:val="nil"/>
              <w:left w:val="nil"/>
              <w:bottom w:val="nil"/>
              <w:right w:val="nil"/>
            </w:tcBorders>
          </w:tcPr>
          <w:p w14:paraId="11824DBB"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1.00</w:t>
            </w:r>
          </w:p>
        </w:tc>
        <w:tc>
          <w:tcPr>
            <w:tcW w:w="887" w:type="dxa"/>
            <w:tcBorders>
              <w:top w:val="nil"/>
              <w:left w:val="nil"/>
              <w:bottom w:val="nil"/>
              <w:right w:val="nil"/>
            </w:tcBorders>
          </w:tcPr>
          <w:p w14:paraId="4EECA97E" w14:textId="77777777" w:rsidR="009C4AE1" w:rsidRPr="000276E5" w:rsidRDefault="009C4AE1" w:rsidP="00BA7963">
            <w:pPr>
              <w:rPr>
                <w:rFonts w:ascii="Times New Roman" w:hAnsi="Times New Roman" w:cs="Times New Roman"/>
                <w:sz w:val="24"/>
                <w:szCs w:val="24"/>
                <w:lang w:val="en-GB"/>
              </w:rPr>
            </w:pPr>
          </w:p>
        </w:tc>
        <w:tc>
          <w:tcPr>
            <w:tcW w:w="886" w:type="dxa"/>
            <w:tcBorders>
              <w:top w:val="nil"/>
              <w:left w:val="nil"/>
              <w:bottom w:val="nil"/>
              <w:right w:val="nil"/>
            </w:tcBorders>
          </w:tcPr>
          <w:p w14:paraId="682F2734" w14:textId="77777777" w:rsidR="009C4AE1" w:rsidRPr="000276E5" w:rsidRDefault="009C4AE1" w:rsidP="00BA7963">
            <w:pPr>
              <w:rPr>
                <w:rFonts w:ascii="Times New Roman" w:hAnsi="Times New Roman" w:cs="Times New Roman"/>
                <w:sz w:val="24"/>
                <w:szCs w:val="24"/>
                <w:lang w:val="en-GB"/>
              </w:rPr>
            </w:pPr>
          </w:p>
        </w:tc>
        <w:tc>
          <w:tcPr>
            <w:tcW w:w="887" w:type="dxa"/>
            <w:tcBorders>
              <w:top w:val="nil"/>
              <w:left w:val="nil"/>
              <w:bottom w:val="nil"/>
              <w:right w:val="nil"/>
            </w:tcBorders>
          </w:tcPr>
          <w:p w14:paraId="73FFED53" w14:textId="77777777" w:rsidR="009C4AE1" w:rsidRPr="000276E5" w:rsidRDefault="009C4AE1" w:rsidP="00BA7963">
            <w:pPr>
              <w:rPr>
                <w:rFonts w:ascii="Times New Roman" w:hAnsi="Times New Roman" w:cs="Times New Roman"/>
                <w:sz w:val="24"/>
                <w:szCs w:val="24"/>
                <w:lang w:val="en-GB"/>
              </w:rPr>
            </w:pPr>
          </w:p>
        </w:tc>
        <w:tc>
          <w:tcPr>
            <w:tcW w:w="886" w:type="dxa"/>
            <w:tcBorders>
              <w:top w:val="nil"/>
              <w:left w:val="nil"/>
              <w:bottom w:val="nil"/>
              <w:right w:val="nil"/>
            </w:tcBorders>
          </w:tcPr>
          <w:p w14:paraId="3C407786" w14:textId="77777777" w:rsidR="009C4AE1" w:rsidRPr="000276E5" w:rsidRDefault="009C4AE1" w:rsidP="00BA7963">
            <w:pPr>
              <w:rPr>
                <w:rFonts w:ascii="Times New Roman" w:hAnsi="Times New Roman" w:cs="Times New Roman"/>
                <w:sz w:val="24"/>
                <w:szCs w:val="24"/>
                <w:lang w:val="en-GB"/>
              </w:rPr>
            </w:pPr>
          </w:p>
        </w:tc>
        <w:tc>
          <w:tcPr>
            <w:tcW w:w="917" w:type="dxa"/>
            <w:tcBorders>
              <w:top w:val="nil"/>
              <w:left w:val="nil"/>
              <w:bottom w:val="nil"/>
              <w:right w:val="nil"/>
            </w:tcBorders>
          </w:tcPr>
          <w:p w14:paraId="10361897" w14:textId="77777777" w:rsidR="009C4AE1" w:rsidRPr="000276E5" w:rsidRDefault="009C4AE1" w:rsidP="00BA7963">
            <w:pPr>
              <w:rPr>
                <w:rFonts w:ascii="Times New Roman" w:hAnsi="Times New Roman" w:cs="Times New Roman"/>
                <w:sz w:val="24"/>
                <w:szCs w:val="24"/>
                <w:lang w:val="en-GB"/>
              </w:rPr>
            </w:pPr>
          </w:p>
        </w:tc>
        <w:tc>
          <w:tcPr>
            <w:tcW w:w="850" w:type="dxa"/>
            <w:tcBorders>
              <w:top w:val="nil"/>
              <w:left w:val="nil"/>
              <w:bottom w:val="nil"/>
              <w:right w:val="nil"/>
            </w:tcBorders>
          </w:tcPr>
          <w:p w14:paraId="065A0238" w14:textId="77777777" w:rsidR="009C4AE1" w:rsidRPr="000276E5" w:rsidRDefault="009C4AE1" w:rsidP="00BA7963">
            <w:pPr>
              <w:rPr>
                <w:rFonts w:ascii="Times New Roman" w:hAnsi="Times New Roman" w:cs="Times New Roman"/>
                <w:sz w:val="24"/>
                <w:szCs w:val="24"/>
                <w:lang w:val="en-GB"/>
              </w:rPr>
            </w:pPr>
          </w:p>
        </w:tc>
      </w:tr>
      <w:tr w:rsidR="009C4AE1" w:rsidRPr="000276E5" w14:paraId="29AD1710" w14:textId="77777777" w:rsidTr="00BA7963">
        <w:tc>
          <w:tcPr>
            <w:tcW w:w="456" w:type="dxa"/>
            <w:tcBorders>
              <w:top w:val="nil"/>
              <w:left w:val="nil"/>
              <w:bottom w:val="nil"/>
              <w:right w:val="nil"/>
            </w:tcBorders>
          </w:tcPr>
          <w:p w14:paraId="02EC2560"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5</w:t>
            </w:r>
          </w:p>
        </w:tc>
        <w:tc>
          <w:tcPr>
            <w:tcW w:w="3977" w:type="dxa"/>
            <w:tcBorders>
              <w:top w:val="nil"/>
              <w:left w:val="nil"/>
              <w:bottom w:val="nil"/>
              <w:right w:val="nil"/>
            </w:tcBorders>
            <w:vAlign w:val="bottom"/>
          </w:tcPr>
          <w:p w14:paraId="386295E3"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sz w:val="24"/>
                <w:szCs w:val="24"/>
              </w:rPr>
              <w:t>Resource</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reduction</w:t>
            </w:r>
            <w:proofErr w:type="spellEnd"/>
            <w:r w:rsidRPr="000276E5">
              <w:rPr>
                <w:rFonts w:ascii="Times New Roman" w:hAnsi="Times New Roman" w:cs="Times New Roman"/>
                <w:sz w:val="24"/>
                <w:szCs w:val="24"/>
              </w:rPr>
              <w:t xml:space="preserve"> – </w:t>
            </w:r>
            <w:proofErr w:type="spellStart"/>
            <w:r w:rsidRPr="000276E5">
              <w:rPr>
                <w:rFonts w:ascii="Times New Roman" w:hAnsi="Times New Roman" w:cs="Times New Roman"/>
                <w:sz w:val="24"/>
                <w:szCs w:val="24"/>
              </w:rPr>
              <w:t>Buyer</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level</w:t>
            </w:r>
            <w:proofErr w:type="spellEnd"/>
            <w:r w:rsidRPr="000276E5">
              <w:rPr>
                <w:rFonts w:ascii="Times New Roman" w:hAnsi="Times New Roman" w:cs="Times New Roman"/>
                <w:sz w:val="24"/>
                <w:szCs w:val="24"/>
              </w:rPr>
              <w:t xml:space="preserve"> </w:t>
            </w:r>
            <w:r w:rsidRPr="000276E5">
              <w:rPr>
                <w:rFonts w:ascii="Times New Roman" w:hAnsi="Times New Roman" w:cs="Times New Roman"/>
                <w:sz w:val="24"/>
                <w:szCs w:val="24"/>
                <w:vertAlign w:val="superscript"/>
              </w:rPr>
              <w:t>(1)</w:t>
            </w:r>
          </w:p>
        </w:tc>
        <w:tc>
          <w:tcPr>
            <w:tcW w:w="884" w:type="dxa"/>
            <w:tcBorders>
              <w:top w:val="nil"/>
              <w:left w:val="nil"/>
              <w:bottom w:val="nil"/>
              <w:right w:val="nil"/>
            </w:tcBorders>
          </w:tcPr>
          <w:p w14:paraId="391D0048"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0.06*</w:t>
            </w:r>
          </w:p>
        </w:tc>
        <w:tc>
          <w:tcPr>
            <w:tcW w:w="887" w:type="dxa"/>
            <w:tcBorders>
              <w:top w:val="nil"/>
              <w:left w:val="nil"/>
              <w:bottom w:val="nil"/>
              <w:right w:val="nil"/>
            </w:tcBorders>
          </w:tcPr>
          <w:p w14:paraId="28A09A55"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4*</w:t>
            </w:r>
          </w:p>
        </w:tc>
        <w:tc>
          <w:tcPr>
            <w:tcW w:w="886" w:type="dxa"/>
            <w:tcBorders>
              <w:top w:val="nil"/>
              <w:left w:val="nil"/>
              <w:bottom w:val="nil"/>
              <w:right w:val="nil"/>
            </w:tcBorders>
          </w:tcPr>
          <w:p w14:paraId="344D6FFE"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0.53*</w:t>
            </w:r>
          </w:p>
        </w:tc>
        <w:tc>
          <w:tcPr>
            <w:tcW w:w="885" w:type="dxa"/>
            <w:tcBorders>
              <w:top w:val="nil"/>
              <w:left w:val="nil"/>
              <w:bottom w:val="nil"/>
              <w:right w:val="nil"/>
            </w:tcBorders>
          </w:tcPr>
          <w:p w14:paraId="19CE3732"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-0.24*</w:t>
            </w:r>
          </w:p>
        </w:tc>
        <w:tc>
          <w:tcPr>
            <w:tcW w:w="887" w:type="dxa"/>
            <w:tcBorders>
              <w:top w:val="nil"/>
              <w:left w:val="nil"/>
              <w:bottom w:val="nil"/>
              <w:right w:val="nil"/>
            </w:tcBorders>
          </w:tcPr>
          <w:p w14:paraId="17283D6D"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1.00</w:t>
            </w:r>
          </w:p>
        </w:tc>
        <w:tc>
          <w:tcPr>
            <w:tcW w:w="886" w:type="dxa"/>
            <w:tcBorders>
              <w:top w:val="nil"/>
              <w:left w:val="nil"/>
              <w:bottom w:val="nil"/>
              <w:right w:val="nil"/>
            </w:tcBorders>
          </w:tcPr>
          <w:p w14:paraId="7DC94447" w14:textId="77777777" w:rsidR="009C4AE1" w:rsidRPr="000276E5" w:rsidRDefault="009C4AE1" w:rsidP="00BA7963">
            <w:pPr>
              <w:rPr>
                <w:rFonts w:ascii="Times New Roman" w:hAnsi="Times New Roman" w:cs="Times New Roman"/>
                <w:sz w:val="24"/>
                <w:szCs w:val="24"/>
                <w:lang w:val="en-GB"/>
              </w:rPr>
            </w:pPr>
          </w:p>
        </w:tc>
        <w:tc>
          <w:tcPr>
            <w:tcW w:w="887" w:type="dxa"/>
            <w:tcBorders>
              <w:top w:val="nil"/>
              <w:left w:val="nil"/>
              <w:bottom w:val="nil"/>
              <w:right w:val="nil"/>
            </w:tcBorders>
          </w:tcPr>
          <w:p w14:paraId="2D4D5526" w14:textId="77777777" w:rsidR="009C4AE1" w:rsidRPr="000276E5" w:rsidRDefault="009C4AE1" w:rsidP="00BA7963">
            <w:pPr>
              <w:rPr>
                <w:rFonts w:ascii="Times New Roman" w:hAnsi="Times New Roman" w:cs="Times New Roman"/>
                <w:sz w:val="24"/>
                <w:szCs w:val="24"/>
                <w:lang w:val="en-GB"/>
              </w:rPr>
            </w:pPr>
          </w:p>
        </w:tc>
        <w:tc>
          <w:tcPr>
            <w:tcW w:w="886" w:type="dxa"/>
            <w:tcBorders>
              <w:top w:val="nil"/>
              <w:left w:val="nil"/>
              <w:bottom w:val="nil"/>
              <w:right w:val="nil"/>
            </w:tcBorders>
          </w:tcPr>
          <w:p w14:paraId="0AC8684D" w14:textId="77777777" w:rsidR="009C4AE1" w:rsidRPr="000276E5" w:rsidRDefault="009C4AE1" w:rsidP="00BA7963">
            <w:pPr>
              <w:rPr>
                <w:rFonts w:ascii="Times New Roman" w:hAnsi="Times New Roman" w:cs="Times New Roman"/>
                <w:sz w:val="24"/>
                <w:szCs w:val="24"/>
                <w:lang w:val="en-GB"/>
              </w:rPr>
            </w:pPr>
          </w:p>
        </w:tc>
        <w:tc>
          <w:tcPr>
            <w:tcW w:w="917" w:type="dxa"/>
            <w:tcBorders>
              <w:top w:val="nil"/>
              <w:left w:val="nil"/>
              <w:bottom w:val="nil"/>
              <w:right w:val="nil"/>
            </w:tcBorders>
          </w:tcPr>
          <w:p w14:paraId="45560F1D" w14:textId="77777777" w:rsidR="009C4AE1" w:rsidRPr="000276E5" w:rsidRDefault="009C4AE1" w:rsidP="00BA7963">
            <w:pPr>
              <w:rPr>
                <w:rFonts w:ascii="Times New Roman" w:hAnsi="Times New Roman" w:cs="Times New Roman"/>
                <w:sz w:val="24"/>
                <w:szCs w:val="24"/>
                <w:lang w:val="en-GB"/>
              </w:rPr>
            </w:pPr>
          </w:p>
        </w:tc>
        <w:tc>
          <w:tcPr>
            <w:tcW w:w="850" w:type="dxa"/>
            <w:tcBorders>
              <w:top w:val="nil"/>
              <w:left w:val="nil"/>
              <w:bottom w:val="nil"/>
              <w:right w:val="nil"/>
            </w:tcBorders>
          </w:tcPr>
          <w:p w14:paraId="118EADC5" w14:textId="77777777" w:rsidR="009C4AE1" w:rsidRPr="000276E5" w:rsidRDefault="009C4AE1" w:rsidP="00BA7963">
            <w:pPr>
              <w:rPr>
                <w:rFonts w:ascii="Times New Roman" w:hAnsi="Times New Roman" w:cs="Times New Roman"/>
                <w:sz w:val="24"/>
                <w:szCs w:val="24"/>
                <w:lang w:val="en-GB"/>
              </w:rPr>
            </w:pPr>
          </w:p>
        </w:tc>
      </w:tr>
      <w:tr w:rsidR="009C4AE1" w:rsidRPr="000276E5" w14:paraId="59B842EB" w14:textId="77777777" w:rsidTr="00BA7963">
        <w:tc>
          <w:tcPr>
            <w:tcW w:w="456" w:type="dxa"/>
            <w:tcBorders>
              <w:top w:val="nil"/>
              <w:left w:val="nil"/>
              <w:bottom w:val="nil"/>
              <w:right w:val="nil"/>
            </w:tcBorders>
          </w:tcPr>
          <w:p w14:paraId="705A9900"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6</w:t>
            </w:r>
          </w:p>
        </w:tc>
        <w:tc>
          <w:tcPr>
            <w:tcW w:w="3977" w:type="dxa"/>
            <w:tcBorders>
              <w:top w:val="nil"/>
              <w:left w:val="nil"/>
              <w:bottom w:val="nil"/>
              <w:right w:val="nil"/>
            </w:tcBorders>
            <w:vAlign w:val="bottom"/>
          </w:tcPr>
          <w:p w14:paraId="5EAC8D2F"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sz w:val="24"/>
                <w:szCs w:val="24"/>
              </w:rPr>
              <w:t>Resource</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reduction</w:t>
            </w:r>
            <w:proofErr w:type="spellEnd"/>
            <w:r w:rsidRPr="000276E5">
              <w:rPr>
                <w:rFonts w:ascii="Times New Roman" w:hAnsi="Times New Roman" w:cs="Times New Roman"/>
                <w:sz w:val="24"/>
                <w:szCs w:val="24"/>
              </w:rPr>
              <w:t xml:space="preserve"> – </w:t>
            </w:r>
            <w:proofErr w:type="spellStart"/>
            <w:r w:rsidRPr="000276E5">
              <w:rPr>
                <w:rFonts w:ascii="Times New Roman" w:hAnsi="Times New Roman" w:cs="Times New Roman"/>
                <w:sz w:val="24"/>
                <w:szCs w:val="24"/>
              </w:rPr>
              <w:t>Supplier</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level</w:t>
            </w:r>
            <w:proofErr w:type="spellEnd"/>
            <w:r w:rsidRPr="000276E5">
              <w:rPr>
                <w:rFonts w:ascii="Times New Roman" w:hAnsi="Times New Roman" w:cs="Times New Roman"/>
                <w:sz w:val="24"/>
                <w:szCs w:val="24"/>
              </w:rPr>
              <w:t xml:space="preserve"> </w:t>
            </w:r>
            <w:r w:rsidRPr="000276E5">
              <w:rPr>
                <w:rFonts w:ascii="Times New Roman" w:hAnsi="Times New Roman" w:cs="Times New Roman"/>
                <w:sz w:val="24"/>
                <w:szCs w:val="24"/>
                <w:vertAlign w:val="superscript"/>
              </w:rPr>
              <w:t>(1)</w:t>
            </w:r>
          </w:p>
        </w:tc>
        <w:tc>
          <w:tcPr>
            <w:tcW w:w="884" w:type="dxa"/>
            <w:tcBorders>
              <w:top w:val="nil"/>
              <w:left w:val="nil"/>
              <w:bottom w:val="nil"/>
              <w:right w:val="nil"/>
            </w:tcBorders>
          </w:tcPr>
          <w:p w14:paraId="1CB12B67"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0.08*</w:t>
            </w:r>
          </w:p>
        </w:tc>
        <w:tc>
          <w:tcPr>
            <w:tcW w:w="887" w:type="dxa"/>
            <w:tcBorders>
              <w:top w:val="nil"/>
              <w:left w:val="nil"/>
              <w:bottom w:val="nil"/>
              <w:right w:val="nil"/>
            </w:tcBorders>
          </w:tcPr>
          <w:p w14:paraId="53DAD466"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w:t>
            </w:r>
            <w:r>
              <w:rPr>
                <w:rFonts w:ascii="Times New Roman" w:hAnsi="Times New Roman" w:cs="Times New Roman"/>
                <w:sz w:val="24"/>
                <w:szCs w:val="24"/>
              </w:rPr>
              <w:t>10</w:t>
            </w:r>
            <w:r w:rsidRPr="00FC4309">
              <w:rPr>
                <w:rFonts w:ascii="Times New Roman" w:hAnsi="Times New Roman" w:cs="Times New Roman"/>
                <w:sz w:val="24"/>
                <w:szCs w:val="24"/>
              </w:rPr>
              <w:t>*</w:t>
            </w:r>
          </w:p>
        </w:tc>
        <w:tc>
          <w:tcPr>
            <w:tcW w:w="886" w:type="dxa"/>
            <w:tcBorders>
              <w:top w:val="nil"/>
              <w:left w:val="nil"/>
              <w:bottom w:val="nil"/>
              <w:right w:val="nil"/>
            </w:tcBorders>
          </w:tcPr>
          <w:p w14:paraId="0D133FEC"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-0.28*</w:t>
            </w:r>
          </w:p>
        </w:tc>
        <w:tc>
          <w:tcPr>
            <w:tcW w:w="885" w:type="dxa"/>
            <w:tcBorders>
              <w:top w:val="nil"/>
              <w:left w:val="nil"/>
              <w:bottom w:val="nil"/>
              <w:right w:val="nil"/>
            </w:tcBorders>
          </w:tcPr>
          <w:p w14:paraId="368805AB"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0.52*</w:t>
            </w:r>
          </w:p>
        </w:tc>
        <w:tc>
          <w:tcPr>
            <w:tcW w:w="887" w:type="dxa"/>
            <w:tcBorders>
              <w:top w:val="nil"/>
              <w:left w:val="nil"/>
              <w:bottom w:val="nil"/>
              <w:right w:val="nil"/>
            </w:tcBorders>
          </w:tcPr>
          <w:p w14:paraId="1B4E4F29"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-0.30*</w:t>
            </w:r>
          </w:p>
        </w:tc>
        <w:tc>
          <w:tcPr>
            <w:tcW w:w="886" w:type="dxa"/>
            <w:tcBorders>
              <w:top w:val="nil"/>
              <w:left w:val="nil"/>
              <w:bottom w:val="nil"/>
              <w:right w:val="nil"/>
            </w:tcBorders>
          </w:tcPr>
          <w:p w14:paraId="263F89CC"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1.00</w:t>
            </w:r>
          </w:p>
        </w:tc>
        <w:tc>
          <w:tcPr>
            <w:tcW w:w="887" w:type="dxa"/>
            <w:tcBorders>
              <w:top w:val="nil"/>
              <w:left w:val="nil"/>
              <w:bottom w:val="nil"/>
              <w:right w:val="nil"/>
            </w:tcBorders>
          </w:tcPr>
          <w:p w14:paraId="6E962FE6" w14:textId="77777777" w:rsidR="009C4AE1" w:rsidRPr="000276E5" w:rsidRDefault="009C4AE1" w:rsidP="00BA7963">
            <w:pPr>
              <w:rPr>
                <w:rFonts w:ascii="Times New Roman" w:hAnsi="Times New Roman" w:cs="Times New Roman"/>
                <w:sz w:val="24"/>
                <w:szCs w:val="24"/>
                <w:lang w:val="en-GB"/>
              </w:rPr>
            </w:pPr>
          </w:p>
        </w:tc>
        <w:tc>
          <w:tcPr>
            <w:tcW w:w="886" w:type="dxa"/>
            <w:tcBorders>
              <w:top w:val="nil"/>
              <w:left w:val="nil"/>
              <w:bottom w:val="nil"/>
              <w:right w:val="nil"/>
            </w:tcBorders>
          </w:tcPr>
          <w:p w14:paraId="12B86DC3" w14:textId="77777777" w:rsidR="009C4AE1" w:rsidRPr="000276E5" w:rsidRDefault="009C4AE1" w:rsidP="00BA7963">
            <w:pPr>
              <w:rPr>
                <w:rFonts w:ascii="Times New Roman" w:hAnsi="Times New Roman" w:cs="Times New Roman"/>
                <w:sz w:val="24"/>
                <w:szCs w:val="24"/>
                <w:lang w:val="en-GB"/>
              </w:rPr>
            </w:pPr>
          </w:p>
        </w:tc>
        <w:tc>
          <w:tcPr>
            <w:tcW w:w="917" w:type="dxa"/>
            <w:tcBorders>
              <w:top w:val="nil"/>
              <w:left w:val="nil"/>
              <w:bottom w:val="nil"/>
              <w:right w:val="nil"/>
            </w:tcBorders>
          </w:tcPr>
          <w:p w14:paraId="48579833" w14:textId="77777777" w:rsidR="009C4AE1" w:rsidRPr="000276E5" w:rsidRDefault="009C4AE1" w:rsidP="00BA7963">
            <w:pPr>
              <w:rPr>
                <w:rFonts w:ascii="Times New Roman" w:hAnsi="Times New Roman" w:cs="Times New Roman"/>
                <w:sz w:val="24"/>
                <w:szCs w:val="24"/>
                <w:lang w:val="en-GB"/>
              </w:rPr>
            </w:pPr>
          </w:p>
        </w:tc>
        <w:tc>
          <w:tcPr>
            <w:tcW w:w="850" w:type="dxa"/>
            <w:tcBorders>
              <w:top w:val="nil"/>
              <w:left w:val="nil"/>
              <w:bottom w:val="nil"/>
              <w:right w:val="nil"/>
            </w:tcBorders>
          </w:tcPr>
          <w:p w14:paraId="6376A581" w14:textId="77777777" w:rsidR="009C4AE1" w:rsidRPr="000276E5" w:rsidRDefault="009C4AE1" w:rsidP="00BA7963">
            <w:pPr>
              <w:rPr>
                <w:rFonts w:ascii="Times New Roman" w:hAnsi="Times New Roman" w:cs="Times New Roman"/>
                <w:sz w:val="24"/>
                <w:szCs w:val="24"/>
                <w:lang w:val="en-GB"/>
              </w:rPr>
            </w:pPr>
          </w:p>
        </w:tc>
      </w:tr>
      <w:tr w:rsidR="009C4AE1" w:rsidRPr="000276E5" w14:paraId="4D83B3FC" w14:textId="77777777" w:rsidTr="00BA7963">
        <w:tc>
          <w:tcPr>
            <w:tcW w:w="456" w:type="dxa"/>
            <w:tcBorders>
              <w:top w:val="nil"/>
              <w:left w:val="nil"/>
              <w:bottom w:val="nil"/>
              <w:right w:val="nil"/>
            </w:tcBorders>
          </w:tcPr>
          <w:p w14:paraId="0CEC1148"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7</w:t>
            </w:r>
          </w:p>
        </w:tc>
        <w:tc>
          <w:tcPr>
            <w:tcW w:w="3977" w:type="dxa"/>
            <w:tcBorders>
              <w:top w:val="nil"/>
              <w:left w:val="nil"/>
              <w:bottom w:val="nil"/>
              <w:right w:val="nil"/>
            </w:tcBorders>
            <w:vAlign w:val="bottom"/>
          </w:tcPr>
          <w:p w14:paraId="575FBDD0"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sz w:val="24"/>
                <w:szCs w:val="24"/>
              </w:rPr>
              <w:t>Health</w:t>
            </w:r>
            <w:proofErr w:type="spellEnd"/>
            <w:r w:rsidRPr="000276E5">
              <w:rPr>
                <w:rFonts w:ascii="Times New Roman" w:hAnsi="Times New Roman" w:cs="Times New Roman"/>
                <w:sz w:val="24"/>
                <w:szCs w:val="24"/>
              </w:rPr>
              <w:t xml:space="preserve"> &amp; safety – </w:t>
            </w:r>
            <w:proofErr w:type="spellStart"/>
            <w:r w:rsidRPr="000276E5">
              <w:rPr>
                <w:rFonts w:ascii="Times New Roman" w:hAnsi="Times New Roman" w:cs="Times New Roman"/>
                <w:sz w:val="24"/>
                <w:szCs w:val="24"/>
              </w:rPr>
              <w:t>Buyer</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level</w:t>
            </w:r>
            <w:proofErr w:type="spellEnd"/>
            <w:r w:rsidRPr="000276E5">
              <w:rPr>
                <w:rFonts w:ascii="Times New Roman" w:hAnsi="Times New Roman" w:cs="Times New Roman"/>
                <w:sz w:val="24"/>
                <w:szCs w:val="24"/>
              </w:rPr>
              <w:t xml:space="preserve"> </w:t>
            </w:r>
            <w:r w:rsidRPr="000276E5">
              <w:rPr>
                <w:rFonts w:ascii="Times New Roman" w:hAnsi="Times New Roman" w:cs="Times New Roman"/>
                <w:sz w:val="24"/>
                <w:szCs w:val="24"/>
                <w:vertAlign w:val="superscript"/>
              </w:rPr>
              <w:t>(1)</w:t>
            </w:r>
          </w:p>
        </w:tc>
        <w:tc>
          <w:tcPr>
            <w:tcW w:w="884" w:type="dxa"/>
            <w:tcBorders>
              <w:top w:val="nil"/>
              <w:left w:val="nil"/>
              <w:bottom w:val="nil"/>
              <w:right w:val="nil"/>
            </w:tcBorders>
          </w:tcPr>
          <w:p w14:paraId="0F01B96B"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0.07*</w:t>
            </w:r>
          </w:p>
        </w:tc>
        <w:tc>
          <w:tcPr>
            <w:tcW w:w="887" w:type="dxa"/>
            <w:tcBorders>
              <w:top w:val="nil"/>
              <w:left w:val="nil"/>
              <w:bottom w:val="nil"/>
              <w:right w:val="nil"/>
            </w:tcBorders>
          </w:tcPr>
          <w:p w14:paraId="50330414"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0</w:t>
            </w:r>
          </w:p>
        </w:tc>
        <w:tc>
          <w:tcPr>
            <w:tcW w:w="886" w:type="dxa"/>
            <w:tcBorders>
              <w:top w:val="nil"/>
              <w:left w:val="nil"/>
              <w:bottom w:val="nil"/>
              <w:right w:val="nil"/>
            </w:tcBorders>
          </w:tcPr>
          <w:p w14:paraId="503054AC"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0.54*</w:t>
            </w:r>
          </w:p>
        </w:tc>
        <w:tc>
          <w:tcPr>
            <w:tcW w:w="885" w:type="dxa"/>
            <w:tcBorders>
              <w:top w:val="nil"/>
              <w:left w:val="nil"/>
              <w:bottom w:val="nil"/>
              <w:right w:val="nil"/>
            </w:tcBorders>
          </w:tcPr>
          <w:p w14:paraId="692D296B"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-0.18*</w:t>
            </w:r>
          </w:p>
        </w:tc>
        <w:tc>
          <w:tcPr>
            <w:tcW w:w="887" w:type="dxa"/>
            <w:tcBorders>
              <w:top w:val="nil"/>
              <w:left w:val="nil"/>
              <w:bottom w:val="nil"/>
              <w:right w:val="nil"/>
            </w:tcBorders>
          </w:tcPr>
          <w:p w14:paraId="049ACD09"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0.56*</w:t>
            </w:r>
          </w:p>
        </w:tc>
        <w:tc>
          <w:tcPr>
            <w:tcW w:w="886" w:type="dxa"/>
            <w:tcBorders>
              <w:top w:val="nil"/>
              <w:left w:val="nil"/>
              <w:bottom w:val="nil"/>
              <w:right w:val="nil"/>
            </w:tcBorders>
          </w:tcPr>
          <w:p w14:paraId="41B8799B"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-0.24*</w:t>
            </w:r>
          </w:p>
        </w:tc>
        <w:tc>
          <w:tcPr>
            <w:tcW w:w="887" w:type="dxa"/>
            <w:tcBorders>
              <w:top w:val="nil"/>
              <w:left w:val="nil"/>
              <w:bottom w:val="nil"/>
              <w:right w:val="nil"/>
            </w:tcBorders>
          </w:tcPr>
          <w:p w14:paraId="5D1E1702"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1.00</w:t>
            </w:r>
          </w:p>
        </w:tc>
        <w:tc>
          <w:tcPr>
            <w:tcW w:w="886" w:type="dxa"/>
            <w:tcBorders>
              <w:top w:val="nil"/>
              <w:left w:val="nil"/>
              <w:bottom w:val="nil"/>
              <w:right w:val="nil"/>
            </w:tcBorders>
          </w:tcPr>
          <w:p w14:paraId="6665908D" w14:textId="77777777" w:rsidR="009C4AE1" w:rsidRPr="000276E5" w:rsidRDefault="009C4AE1" w:rsidP="00BA7963">
            <w:pPr>
              <w:rPr>
                <w:rFonts w:ascii="Times New Roman" w:hAnsi="Times New Roman" w:cs="Times New Roman"/>
                <w:sz w:val="24"/>
                <w:szCs w:val="24"/>
              </w:rPr>
            </w:pPr>
          </w:p>
        </w:tc>
        <w:tc>
          <w:tcPr>
            <w:tcW w:w="917" w:type="dxa"/>
            <w:tcBorders>
              <w:top w:val="nil"/>
              <w:left w:val="nil"/>
              <w:bottom w:val="nil"/>
              <w:right w:val="nil"/>
            </w:tcBorders>
          </w:tcPr>
          <w:p w14:paraId="61674F7B" w14:textId="77777777" w:rsidR="009C4AE1" w:rsidRPr="000276E5" w:rsidRDefault="009C4AE1" w:rsidP="00BA7963">
            <w:pPr>
              <w:rPr>
                <w:rFonts w:ascii="Times New Roman" w:hAnsi="Times New Roman" w:cs="Times New Roman"/>
                <w:sz w:val="24"/>
                <w:szCs w:val="24"/>
              </w:rPr>
            </w:pPr>
          </w:p>
        </w:tc>
        <w:tc>
          <w:tcPr>
            <w:tcW w:w="850" w:type="dxa"/>
            <w:tcBorders>
              <w:top w:val="nil"/>
              <w:left w:val="nil"/>
              <w:bottom w:val="nil"/>
              <w:right w:val="nil"/>
            </w:tcBorders>
          </w:tcPr>
          <w:p w14:paraId="53610EDA" w14:textId="77777777" w:rsidR="009C4AE1" w:rsidRPr="000276E5" w:rsidRDefault="009C4AE1" w:rsidP="00BA7963">
            <w:pPr>
              <w:rPr>
                <w:rFonts w:ascii="Times New Roman" w:hAnsi="Times New Roman" w:cs="Times New Roman"/>
                <w:sz w:val="24"/>
                <w:szCs w:val="24"/>
              </w:rPr>
            </w:pPr>
          </w:p>
        </w:tc>
      </w:tr>
      <w:tr w:rsidR="009C4AE1" w:rsidRPr="000276E5" w14:paraId="5910C1A9" w14:textId="77777777" w:rsidTr="00BA7963">
        <w:tc>
          <w:tcPr>
            <w:tcW w:w="456" w:type="dxa"/>
            <w:tcBorders>
              <w:top w:val="nil"/>
              <w:left w:val="nil"/>
              <w:bottom w:val="nil"/>
              <w:right w:val="nil"/>
            </w:tcBorders>
          </w:tcPr>
          <w:p w14:paraId="509CAEE0"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8</w:t>
            </w:r>
          </w:p>
        </w:tc>
        <w:tc>
          <w:tcPr>
            <w:tcW w:w="3977" w:type="dxa"/>
            <w:tcBorders>
              <w:top w:val="nil"/>
              <w:left w:val="nil"/>
              <w:bottom w:val="nil"/>
              <w:right w:val="nil"/>
            </w:tcBorders>
            <w:vAlign w:val="bottom"/>
          </w:tcPr>
          <w:p w14:paraId="25EDA988"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sz w:val="24"/>
                <w:szCs w:val="24"/>
              </w:rPr>
              <w:t>Health</w:t>
            </w:r>
            <w:proofErr w:type="spellEnd"/>
            <w:r w:rsidRPr="000276E5">
              <w:rPr>
                <w:rFonts w:ascii="Times New Roman" w:hAnsi="Times New Roman" w:cs="Times New Roman"/>
                <w:sz w:val="24"/>
                <w:szCs w:val="24"/>
              </w:rPr>
              <w:t xml:space="preserve"> &amp; safety – </w:t>
            </w:r>
            <w:proofErr w:type="spellStart"/>
            <w:r w:rsidRPr="000276E5">
              <w:rPr>
                <w:rFonts w:ascii="Times New Roman" w:hAnsi="Times New Roman" w:cs="Times New Roman"/>
                <w:sz w:val="24"/>
                <w:szCs w:val="24"/>
              </w:rPr>
              <w:t>Supplier</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level</w:t>
            </w:r>
            <w:proofErr w:type="spellEnd"/>
            <w:r w:rsidRPr="000276E5">
              <w:rPr>
                <w:rFonts w:ascii="Times New Roman" w:hAnsi="Times New Roman" w:cs="Times New Roman"/>
                <w:sz w:val="24"/>
                <w:szCs w:val="24"/>
              </w:rPr>
              <w:t xml:space="preserve"> </w:t>
            </w:r>
            <w:r w:rsidRPr="000276E5">
              <w:rPr>
                <w:rFonts w:ascii="Times New Roman" w:hAnsi="Times New Roman" w:cs="Times New Roman"/>
                <w:sz w:val="24"/>
                <w:szCs w:val="24"/>
                <w:vertAlign w:val="superscript"/>
              </w:rPr>
              <w:t>(1)</w:t>
            </w:r>
          </w:p>
        </w:tc>
        <w:tc>
          <w:tcPr>
            <w:tcW w:w="884" w:type="dxa"/>
            <w:tcBorders>
              <w:top w:val="nil"/>
              <w:left w:val="nil"/>
              <w:bottom w:val="nil"/>
              <w:right w:val="nil"/>
            </w:tcBorders>
          </w:tcPr>
          <w:p w14:paraId="298D9E4D"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0.01</w:t>
            </w:r>
          </w:p>
        </w:tc>
        <w:tc>
          <w:tcPr>
            <w:tcW w:w="887" w:type="dxa"/>
            <w:tcBorders>
              <w:top w:val="nil"/>
              <w:left w:val="nil"/>
              <w:bottom w:val="nil"/>
              <w:right w:val="nil"/>
            </w:tcBorders>
          </w:tcPr>
          <w:p w14:paraId="38FEA5EC"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2</w:t>
            </w:r>
          </w:p>
        </w:tc>
        <w:tc>
          <w:tcPr>
            <w:tcW w:w="886" w:type="dxa"/>
            <w:tcBorders>
              <w:top w:val="nil"/>
              <w:left w:val="nil"/>
              <w:bottom w:val="nil"/>
              <w:right w:val="nil"/>
            </w:tcBorders>
          </w:tcPr>
          <w:p w14:paraId="1C30202F"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-0.24*</w:t>
            </w:r>
          </w:p>
        </w:tc>
        <w:tc>
          <w:tcPr>
            <w:tcW w:w="885" w:type="dxa"/>
            <w:tcBorders>
              <w:top w:val="nil"/>
              <w:left w:val="nil"/>
              <w:bottom w:val="nil"/>
              <w:right w:val="nil"/>
            </w:tcBorders>
          </w:tcPr>
          <w:p w14:paraId="7D4F6F8E"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0.47*</w:t>
            </w:r>
          </w:p>
        </w:tc>
        <w:tc>
          <w:tcPr>
            <w:tcW w:w="887" w:type="dxa"/>
            <w:tcBorders>
              <w:top w:val="nil"/>
              <w:left w:val="nil"/>
              <w:bottom w:val="nil"/>
              <w:right w:val="nil"/>
            </w:tcBorders>
          </w:tcPr>
          <w:p w14:paraId="6B779B89"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-0.22*</w:t>
            </w:r>
          </w:p>
        </w:tc>
        <w:tc>
          <w:tcPr>
            <w:tcW w:w="886" w:type="dxa"/>
            <w:tcBorders>
              <w:top w:val="nil"/>
              <w:left w:val="nil"/>
              <w:bottom w:val="nil"/>
              <w:right w:val="nil"/>
            </w:tcBorders>
          </w:tcPr>
          <w:p w14:paraId="6696C7D6"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0.45*</w:t>
            </w:r>
          </w:p>
        </w:tc>
        <w:tc>
          <w:tcPr>
            <w:tcW w:w="887" w:type="dxa"/>
            <w:tcBorders>
              <w:top w:val="nil"/>
              <w:left w:val="nil"/>
              <w:bottom w:val="nil"/>
              <w:right w:val="nil"/>
            </w:tcBorders>
          </w:tcPr>
          <w:p w14:paraId="417D3A54"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-0.29*</w:t>
            </w:r>
          </w:p>
        </w:tc>
        <w:tc>
          <w:tcPr>
            <w:tcW w:w="886" w:type="dxa"/>
            <w:tcBorders>
              <w:top w:val="nil"/>
              <w:left w:val="nil"/>
              <w:bottom w:val="nil"/>
              <w:right w:val="nil"/>
            </w:tcBorders>
          </w:tcPr>
          <w:p w14:paraId="7C337D55"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1.00</w:t>
            </w:r>
          </w:p>
        </w:tc>
        <w:tc>
          <w:tcPr>
            <w:tcW w:w="917" w:type="dxa"/>
            <w:tcBorders>
              <w:top w:val="nil"/>
              <w:left w:val="nil"/>
              <w:bottom w:val="nil"/>
              <w:right w:val="nil"/>
            </w:tcBorders>
          </w:tcPr>
          <w:p w14:paraId="5E5C1765" w14:textId="77777777" w:rsidR="009C4AE1" w:rsidRPr="000276E5" w:rsidRDefault="009C4AE1" w:rsidP="00BA7963">
            <w:pPr>
              <w:rPr>
                <w:rFonts w:ascii="Times New Roman" w:hAnsi="Times New Roman" w:cs="Times New Roman"/>
                <w:sz w:val="24"/>
                <w:szCs w:val="24"/>
              </w:rPr>
            </w:pPr>
          </w:p>
        </w:tc>
        <w:tc>
          <w:tcPr>
            <w:tcW w:w="850" w:type="dxa"/>
            <w:tcBorders>
              <w:top w:val="nil"/>
              <w:left w:val="nil"/>
              <w:bottom w:val="nil"/>
              <w:right w:val="nil"/>
            </w:tcBorders>
          </w:tcPr>
          <w:p w14:paraId="0DFA5EBA" w14:textId="77777777" w:rsidR="009C4AE1" w:rsidRPr="000276E5" w:rsidRDefault="009C4AE1" w:rsidP="00BA7963">
            <w:pPr>
              <w:rPr>
                <w:rFonts w:ascii="Times New Roman" w:hAnsi="Times New Roman" w:cs="Times New Roman"/>
                <w:sz w:val="24"/>
                <w:szCs w:val="24"/>
              </w:rPr>
            </w:pPr>
          </w:p>
        </w:tc>
      </w:tr>
      <w:tr w:rsidR="009C4AE1" w:rsidRPr="000276E5" w14:paraId="333B62D3" w14:textId="77777777" w:rsidTr="00BA7963">
        <w:tc>
          <w:tcPr>
            <w:tcW w:w="456" w:type="dxa"/>
            <w:tcBorders>
              <w:top w:val="nil"/>
              <w:left w:val="nil"/>
              <w:bottom w:val="nil"/>
              <w:right w:val="nil"/>
            </w:tcBorders>
          </w:tcPr>
          <w:p w14:paraId="72E26428" w14:textId="77777777" w:rsidR="009C4AE1" w:rsidRPr="000276E5" w:rsidRDefault="009C4AE1" w:rsidP="00BA7963">
            <w:pPr>
              <w:spacing w:line="340" w:lineRule="exact"/>
              <w:rPr>
                <w:rFonts w:ascii="Times New Roman" w:hAnsi="Times New Roman" w:cs="Times New Roman"/>
                <w:sz w:val="24"/>
                <w:szCs w:val="24"/>
              </w:rPr>
            </w:pPr>
            <w:r w:rsidRPr="000276E5">
              <w:rPr>
                <w:rFonts w:ascii="Times New Roman" w:hAnsi="Times New Roman" w:cs="Times New Roman"/>
                <w:sz w:val="24"/>
                <w:szCs w:val="24"/>
              </w:rPr>
              <w:t>9</w:t>
            </w:r>
          </w:p>
        </w:tc>
        <w:tc>
          <w:tcPr>
            <w:tcW w:w="3977" w:type="dxa"/>
            <w:tcBorders>
              <w:top w:val="nil"/>
              <w:left w:val="nil"/>
              <w:bottom w:val="nil"/>
              <w:right w:val="nil"/>
            </w:tcBorders>
            <w:vAlign w:val="bottom"/>
          </w:tcPr>
          <w:p w14:paraId="722944B8"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sz w:val="24"/>
                <w:szCs w:val="24"/>
              </w:rPr>
              <w:t xml:space="preserve">Human </w:t>
            </w:r>
            <w:proofErr w:type="spellStart"/>
            <w:r w:rsidRPr="000276E5">
              <w:rPr>
                <w:rFonts w:ascii="Times New Roman" w:hAnsi="Times New Roman" w:cs="Times New Roman"/>
                <w:sz w:val="24"/>
                <w:szCs w:val="24"/>
              </w:rPr>
              <w:t>rights</w:t>
            </w:r>
            <w:proofErr w:type="spellEnd"/>
            <w:r w:rsidRPr="000276E5">
              <w:rPr>
                <w:rFonts w:ascii="Times New Roman" w:hAnsi="Times New Roman" w:cs="Times New Roman"/>
                <w:sz w:val="24"/>
                <w:szCs w:val="24"/>
              </w:rPr>
              <w:t xml:space="preserve"> – </w:t>
            </w:r>
            <w:proofErr w:type="spellStart"/>
            <w:r w:rsidRPr="000276E5">
              <w:rPr>
                <w:rFonts w:ascii="Times New Roman" w:hAnsi="Times New Roman" w:cs="Times New Roman"/>
                <w:sz w:val="24"/>
                <w:szCs w:val="24"/>
              </w:rPr>
              <w:t>Buyer</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level</w:t>
            </w:r>
            <w:proofErr w:type="spellEnd"/>
            <w:r w:rsidRPr="000276E5">
              <w:rPr>
                <w:rFonts w:ascii="Times New Roman" w:hAnsi="Times New Roman" w:cs="Times New Roman"/>
                <w:sz w:val="24"/>
                <w:szCs w:val="24"/>
              </w:rPr>
              <w:t xml:space="preserve"> </w:t>
            </w:r>
            <w:r w:rsidRPr="000276E5">
              <w:rPr>
                <w:rFonts w:ascii="Times New Roman" w:hAnsi="Times New Roman" w:cs="Times New Roman"/>
                <w:sz w:val="24"/>
                <w:szCs w:val="24"/>
                <w:vertAlign w:val="superscript"/>
              </w:rPr>
              <w:t>(1)</w:t>
            </w:r>
          </w:p>
        </w:tc>
        <w:tc>
          <w:tcPr>
            <w:tcW w:w="884" w:type="dxa"/>
            <w:tcBorders>
              <w:top w:val="nil"/>
              <w:left w:val="nil"/>
              <w:bottom w:val="nil"/>
              <w:right w:val="nil"/>
            </w:tcBorders>
          </w:tcPr>
          <w:p w14:paraId="343E4027"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0.10*</w:t>
            </w:r>
          </w:p>
        </w:tc>
        <w:tc>
          <w:tcPr>
            <w:tcW w:w="887" w:type="dxa"/>
            <w:tcBorders>
              <w:top w:val="nil"/>
              <w:left w:val="nil"/>
              <w:bottom w:val="nil"/>
              <w:right w:val="nil"/>
            </w:tcBorders>
          </w:tcPr>
          <w:p w14:paraId="532FF501"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1</w:t>
            </w:r>
          </w:p>
        </w:tc>
        <w:tc>
          <w:tcPr>
            <w:tcW w:w="886" w:type="dxa"/>
            <w:tcBorders>
              <w:top w:val="nil"/>
              <w:left w:val="nil"/>
              <w:bottom w:val="nil"/>
              <w:right w:val="nil"/>
            </w:tcBorders>
          </w:tcPr>
          <w:p w14:paraId="71D70339"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0.48*</w:t>
            </w:r>
          </w:p>
        </w:tc>
        <w:tc>
          <w:tcPr>
            <w:tcW w:w="885" w:type="dxa"/>
            <w:tcBorders>
              <w:top w:val="nil"/>
              <w:left w:val="nil"/>
              <w:bottom w:val="nil"/>
              <w:right w:val="nil"/>
            </w:tcBorders>
          </w:tcPr>
          <w:p w14:paraId="60A39612"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-0.20*</w:t>
            </w:r>
          </w:p>
        </w:tc>
        <w:tc>
          <w:tcPr>
            <w:tcW w:w="887" w:type="dxa"/>
            <w:tcBorders>
              <w:top w:val="nil"/>
              <w:left w:val="nil"/>
              <w:bottom w:val="nil"/>
              <w:right w:val="nil"/>
            </w:tcBorders>
          </w:tcPr>
          <w:p w14:paraId="7EC10DD2"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0.44*</w:t>
            </w:r>
          </w:p>
        </w:tc>
        <w:tc>
          <w:tcPr>
            <w:tcW w:w="886" w:type="dxa"/>
            <w:tcBorders>
              <w:top w:val="nil"/>
              <w:left w:val="nil"/>
              <w:bottom w:val="nil"/>
              <w:right w:val="nil"/>
            </w:tcBorders>
          </w:tcPr>
          <w:p w14:paraId="4F3C36F6"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-0.17*</w:t>
            </w:r>
          </w:p>
        </w:tc>
        <w:tc>
          <w:tcPr>
            <w:tcW w:w="887" w:type="dxa"/>
            <w:tcBorders>
              <w:top w:val="nil"/>
              <w:left w:val="nil"/>
              <w:bottom w:val="nil"/>
              <w:right w:val="nil"/>
            </w:tcBorders>
          </w:tcPr>
          <w:p w14:paraId="54155701"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0.40*</w:t>
            </w:r>
          </w:p>
        </w:tc>
        <w:tc>
          <w:tcPr>
            <w:tcW w:w="886" w:type="dxa"/>
            <w:tcBorders>
              <w:top w:val="nil"/>
              <w:left w:val="nil"/>
              <w:bottom w:val="nil"/>
              <w:right w:val="nil"/>
            </w:tcBorders>
          </w:tcPr>
          <w:p w14:paraId="51B7A0D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-0.21*</w:t>
            </w:r>
          </w:p>
        </w:tc>
        <w:tc>
          <w:tcPr>
            <w:tcW w:w="917" w:type="dxa"/>
            <w:tcBorders>
              <w:top w:val="nil"/>
              <w:left w:val="nil"/>
              <w:bottom w:val="nil"/>
              <w:right w:val="nil"/>
            </w:tcBorders>
          </w:tcPr>
          <w:p w14:paraId="0CA181DE"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1.00</w:t>
            </w:r>
          </w:p>
        </w:tc>
        <w:tc>
          <w:tcPr>
            <w:tcW w:w="850" w:type="dxa"/>
            <w:tcBorders>
              <w:top w:val="nil"/>
              <w:left w:val="nil"/>
              <w:bottom w:val="nil"/>
              <w:right w:val="nil"/>
            </w:tcBorders>
          </w:tcPr>
          <w:p w14:paraId="2AFFD281" w14:textId="77777777" w:rsidR="009C4AE1" w:rsidRPr="000276E5" w:rsidRDefault="009C4AE1" w:rsidP="00BA7963">
            <w:pPr>
              <w:rPr>
                <w:rFonts w:ascii="Times New Roman" w:hAnsi="Times New Roman" w:cs="Times New Roman"/>
                <w:sz w:val="24"/>
                <w:szCs w:val="24"/>
              </w:rPr>
            </w:pPr>
          </w:p>
        </w:tc>
      </w:tr>
      <w:tr w:rsidR="009C4AE1" w:rsidRPr="000276E5" w14:paraId="1C8B48E3" w14:textId="77777777" w:rsidTr="00BA7963">
        <w:tc>
          <w:tcPr>
            <w:tcW w:w="456" w:type="dxa"/>
            <w:tcBorders>
              <w:top w:val="nil"/>
              <w:left w:val="nil"/>
              <w:bottom w:val="nil"/>
              <w:right w:val="nil"/>
            </w:tcBorders>
          </w:tcPr>
          <w:p w14:paraId="084B08D4"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10</w:t>
            </w:r>
          </w:p>
        </w:tc>
        <w:tc>
          <w:tcPr>
            <w:tcW w:w="3977" w:type="dxa"/>
            <w:tcBorders>
              <w:top w:val="nil"/>
              <w:left w:val="nil"/>
              <w:bottom w:val="nil"/>
              <w:right w:val="nil"/>
            </w:tcBorders>
            <w:vAlign w:val="bottom"/>
          </w:tcPr>
          <w:p w14:paraId="419E6E21"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sz w:val="24"/>
                <w:szCs w:val="24"/>
              </w:rPr>
              <w:t xml:space="preserve">Human </w:t>
            </w:r>
            <w:proofErr w:type="spellStart"/>
            <w:r w:rsidRPr="000276E5">
              <w:rPr>
                <w:rFonts w:ascii="Times New Roman" w:hAnsi="Times New Roman" w:cs="Times New Roman"/>
                <w:sz w:val="24"/>
                <w:szCs w:val="24"/>
              </w:rPr>
              <w:t>rights</w:t>
            </w:r>
            <w:proofErr w:type="spellEnd"/>
            <w:r w:rsidRPr="000276E5">
              <w:rPr>
                <w:rFonts w:ascii="Times New Roman" w:hAnsi="Times New Roman" w:cs="Times New Roman"/>
                <w:sz w:val="24"/>
                <w:szCs w:val="24"/>
              </w:rPr>
              <w:t xml:space="preserve"> – </w:t>
            </w:r>
            <w:proofErr w:type="spellStart"/>
            <w:r w:rsidRPr="000276E5">
              <w:rPr>
                <w:rFonts w:ascii="Times New Roman" w:hAnsi="Times New Roman" w:cs="Times New Roman"/>
                <w:sz w:val="24"/>
                <w:szCs w:val="24"/>
              </w:rPr>
              <w:t>Supplier</w:t>
            </w:r>
            <w:proofErr w:type="spellEnd"/>
            <w:r w:rsidRPr="000276E5">
              <w:rPr>
                <w:rFonts w:ascii="Times New Roman" w:hAnsi="Times New Roman" w:cs="Times New Roman"/>
                <w:sz w:val="24"/>
                <w:szCs w:val="24"/>
              </w:rPr>
              <w:t xml:space="preserve"> </w:t>
            </w:r>
            <w:proofErr w:type="spellStart"/>
            <w:r w:rsidRPr="000276E5">
              <w:rPr>
                <w:rFonts w:ascii="Times New Roman" w:hAnsi="Times New Roman" w:cs="Times New Roman"/>
                <w:sz w:val="24"/>
                <w:szCs w:val="24"/>
              </w:rPr>
              <w:t>level</w:t>
            </w:r>
            <w:proofErr w:type="spellEnd"/>
            <w:r w:rsidRPr="000276E5">
              <w:rPr>
                <w:rFonts w:ascii="Times New Roman" w:hAnsi="Times New Roman" w:cs="Times New Roman"/>
                <w:sz w:val="24"/>
                <w:szCs w:val="24"/>
              </w:rPr>
              <w:t xml:space="preserve"> </w:t>
            </w:r>
            <w:r w:rsidRPr="000276E5">
              <w:rPr>
                <w:rFonts w:ascii="Times New Roman" w:hAnsi="Times New Roman" w:cs="Times New Roman"/>
                <w:sz w:val="24"/>
                <w:szCs w:val="24"/>
                <w:vertAlign w:val="superscript"/>
              </w:rPr>
              <w:t>(1)</w:t>
            </w:r>
          </w:p>
        </w:tc>
        <w:tc>
          <w:tcPr>
            <w:tcW w:w="884" w:type="dxa"/>
            <w:tcBorders>
              <w:top w:val="nil"/>
              <w:left w:val="nil"/>
              <w:bottom w:val="nil"/>
              <w:right w:val="nil"/>
            </w:tcBorders>
          </w:tcPr>
          <w:p w14:paraId="75F3BBE8"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-0.02</w:t>
            </w:r>
          </w:p>
        </w:tc>
        <w:tc>
          <w:tcPr>
            <w:tcW w:w="887" w:type="dxa"/>
            <w:tcBorders>
              <w:top w:val="nil"/>
              <w:left w:val="nil"/>
              <w:bottom w:val="nil"/>
              <w:right w:val="nil"/>
            </w:tcBorders>
          </w:tcPr>
          <w:p w14:paraId="227C9DE8"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0</w:t>
            </w:r>
          </w:p>
        </w:tc>
        <w:tc>
          <w:tcPr>
            <w:tcW w:w="886" w:type="dxa"/>
            <w:tcBorders>
              <w:top w:val="nil"/>
              <w:left w:val="nil"/>
              <w:bottom w:val="nil"/>
              <w:right w:val="nil"/>
            </w:tcBorders>
          </w:tcPr>
          <w:p w14:paraId="21C2930B"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-0.23*</w:t>
            </w:r>
          </w:p>
        </w:tc>
        <w:tc>
          <w:tcPr>
            <w:tcW w:w="885" w:type="dxa"/>
            <w:tcBorders>
              <w:top w:val="nil"/>
              <w:left w:val="nil"/>
              <w:bottom w:val="nil"/>
              <w:right w:val="nil"/>
            </w:tcBorders>
          </w:tcPr>
          <w:p w14:paraId="408FC498"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0.35*</w:t>
            </w:r>
          </w:p>
        </w:tc>
        <w:tc>
          <w:tcPr>
            <w:tcW w:w="887" w:type="dxa"/>
            <w:tcBorders>
              <w:top w:val="nil"/>
              <w:left w:val="nil"/>
              <w:bottom w:val="nil"/>
              <w:right w:val="nil"/>
            </w:tcBorders>
          </w:tcPr>
          <w:p w14:paraId="6675CC84"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-0.21*</w:t>
            </w:r>
          </w:p>
        </w:tc>
        <w:tc>
          <w:tcPr>
            <w:tcW w:w="886" w:type="dxa"/>
            <w:tcBorders>
              <w:top w:val="nil"/>
              <w:left w:val="nil"/>
              <w:bottom w:val="nil"/>
              <w:right w:val="nil"/>
            </w:tcBorders>
          </w:tcPr>
          <w:p w14:paraId="5033C0DD"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 xml:space="preserve"> 0.32*</w:t>
            </w:r>
          </w:p>
        </w:tc>
        <w:tc>
          <w:tcPr>
            <w:tcW w:w="887" w:type="dxa"/>
            <w:tcBorders>
              <w:top w:val="nil"/>
              <w:left w:val="nil"/>
              <w:bottom w:val="nil"/>
              <w:right w:val="nil"/>
            </w:tcBorders>
          </w:tcPr>
          <w:p w14:paraId="6C7AC11D" w14:textId="77777777" w:rsidR="009C4AE1" w:rsidRPr="000276E5" w:rsidRDefault="009C4AE1" w:rsidP="00BA7963">
            <w:pPr>
              <w:rPr>
                <w:rFonts w:ascii="Times New Roman" w:hAnsi="Times New Roman" w:cs="Times New Roman"/>
                <w:sz w:val="24"/>
                <w:szCs w:val="24"/>
                <w:lang w:val="en-GB"/>
              </w:rPr>
            </w:pPr>
            <w:r w:rsidRPr="000276E5">
              <w:rPr>
                <w:rFonts w:ascii="Times New Roman" w:hAnsi="Times New Roman" w:cs="Times New Roman"/>
                <w:sz w:val="24"/>
                <w:szCs w:val="24"/>
              </w:rPr>
              <w:t>-0.21*</w:t>
            </w:r>
          </w:p>
        </w:tc>
        <w:tc>
          <w:tcPr>
            <w:tcW w:w="886" w:type="dxa"/>
            <w:tcBorders>
              <w:top w:val="nil"/>
              <w:left w:val="nil"/>
              <w:bottom w:val="nil"/>
              <w:right w:val="nil"/>
            </w:tcBorders>
          </w:tcPr>
          <w:p w14:paraId="3C4F65C7"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0.36*</w:t>
            </w:r>
          </w:p>
        </w:tc>
        <w:tc>
          <w:tcPr>
            <w:tcW w:w="917" w:type="dxa"/>
            <w:tcBorders>
              <w:top w:val="nil"/>
              <w:left w:val="nil"/>
              <w:bottom w:val="nil"/>
              <w:right w:val="nil"/>
            </w:tcBorders>
          </w:tcPr>
          <w:p w14:paraId="4D006107"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-0.31*</w:t>
            </w:r>
          </w:p>
        </w:tc>
        <w:tc>
          <w:tcPr>
            <w:tcW w:w="850" w:type="dxa"/>
            <w:tcBorders>
              <w:top w:val="nil"/>
              <w:left w:val="nil"/>
              <w:bottom w:val="nil"/>
              <w:right w:val="nil"/>
            </w:tcBorders>
          </w:tcPr>
          <w:p w14:paraId="22972C4D"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1.00</w:t>
            </w:r>
          </w:p>
        </w:tc>
      </w:tr>
      <w:tr w:rsidR="009C4AE1" w:rsidRPr="000276E5" w14:paraId="6C2D45F3" w14:textId="77777777" w:rsidTr="00BA7963">
        <w:tc>
          <w:tcPr>
            <w:tcW w:w="456" w:type="dxa"/>
            <w:tcBorders>
              <w:top w:val="nil"/>
              <w:left w:val="nil"/>
              <w:bottom w:val="nil"/>
              <w:right w:val="nil"/>
            </w:tcBorders>
          </w:tcPr>
          <w:p w14:paraId="2677E7CF"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11</w:t>
            </w:r>
          </w:p>
        </w:tc>
        <w:tc>
          <w:tcPr>
            <w:tcW w:w="3977" w:type="dxa"/>
            <w:tcBorders>
              <w:top w:val="nil"/>
              <w:left w:val="nil"/>
              <w:bottom w:val="nil"/>
              <w:right w:val="nil"/>
            </w:tcBorders>
          </w:tcPr>
          <w:p w14:paraId="6104C4A4"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color w:val="000000" w:themeColor="text1"/>
                <w:sz w:val="24"/>
                <w:szCs w:val="24"/>
              </w:rPr>
              <w:t>Buyer’s</w:t>
            </w:r>
            <w:proofErr w:type="spellEnd"/>
            <w:r w:rsidRPr="000276E5">
              <w:rPr>
                <w:rFonts w:ascii="Times New Roman" w:hAnsi="Times New Roman" w:cs="Times New Roman"/>
                <w:color w:val="000000" w:themeColor="text1"/>
                <w:sz w:val="24"/>
                <w:szCs w:val="24"/>
              </w:rPr>
              <w:t xml:space="preserve"> </w:t>
            </w:r>
            <w:proofErr w:type="spellStart"/>
            <w:r w:rsidRPr="000276E5">
              <w:rPr>
                <w:rFonts w:ascii="Times New Roman" w:hAnsi="Times New Roman" w:cs="Times New Roman"/>
                <w:color w:val="000000" w:themeColor="text1"/>
                <w:sz w:val="24"/>
                <w:szCs w:val="24"/>
              </w:rPr>
              <w:t>size</w:t>
            </w:r>
            <w:proofErr w:type="spellEnd"/>
          </w:p>
        </w:tc>
        <w:tc>
          <w:tcPr>
            <w:tcW w:w="884" w:type="dxa"/>
            <w:tcBorders>
              <w:top w:val="nil"/>
              <w:left w:val="nil"/>
              <w:bottom w:val="nil"/>
              <w:right w:val="nil"/>
            </w:tcBorders>
          </w:tcPr>
          <w:p w14:paraId="0EF8BC9F"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0.11*</w:t>
            </w:r>
          </w:p>
        </w:tc>
        <w:tc>
          <w:tcPr>
            <w:tcW w:w="887" w:type="dxa"/>
            <w:tcBorders>
              <w:top w:val="nil"/>
              <w:left w:val="nil"/>
              <w:bottom w:val="nil"/>
              <w:right w:val="nil"/>
            </w:tcBorders>
          </w:tcPr>
          <w:p w14:paraId="7768C898" w14:textId="77777777" w:rsidR="009C4AE1" w:rsidRDefault="009C4AE1" w:rsidP="00BA7963">
            <w:pPr>
              <w:jc w:val="both"/>
            </w:pPr>
            <w:r>
              <w:rPr>
                <w:rFonts w:ascii="Times New Roman" w:hAnsi="Times New Roman" w:cs="Times New Roman"/>
                <w:sz w:val="24"/>
                <w:szCs w:val="24"/>
              </w:rPr>
              <w:t>-</w:t>
            </w:r>
            <w:r w:rsidRPr="00FC4309">
              <w:rPr>
                <w:rFonts w:ascii="Times New Roman" w:hAnsi="Times New Roman" w:cs="Times New Roman"/>
                <w:sz w:val="24"/>
                <w:szCs w:val="24"/>
              </w:rPr>
              <w:t>0.</w:t>
            </w:r>
            <w:r>
              <w:rPr>
                <w:rFonts w:ascii="Times New Roman" w:hAnsi="Times New Roman" w:cs="Times New Roman"/>
                <w:sz w:val="24"/>
                <w:szCs w:val="24"/>
              </w:rPr>
              <w:t>26</w:t>
            </w:r>
            <w:r w:rsidRPr="00FC4309">
              <w:rPr>
                <w:rFonts w:ascii="Times New Roman" w:hAnsi="Times New Roman" w:cs="Times New Roman"/>
                <w:sz w:val="24"/>
                <w:szCs w:val="24"/>
              </w:rPr>
              <w:t>*</w:t>
            </w:r>
          </w:p>
        </w:tc>
        <w:tc>
          <w:tcPr>
            <w:tcW w:w="886" w:type="dxa"/>
            <w:tcBorders>
              <w:top w:val="nil"/>
              <w:left w:val="nil"/>
              <w:bottom w:val="nil"/>
              <w:right w:val="nil"/>
            </w:tcBorders>
          </w:tcPr>
          <w:p w14:paraId="09E46F3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0.29*</w:t>
            </w:r>
          </w:p>
        </w:tc>
        <w:tc>
          <w:tcPr>
            <w:tcW w:w="885" w:type="dxa"/>
            <w:tcBorders>
              <w:top w:val="nil"/>
              <w:left w:val="nil"/>
              <w:bottom w:val="nil"/>
              <w:right w:val="nil"/>
            </w:tcBorders>
          </w:tcPr>
          <w:p w14:paraId="1B8AB44C"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-0.21*</w:t>
            </w:r>
          </w:p>
        </w:tc>
        <w:tc>
          <w:tcPr>
            <w:tcW w:w="887" w:type="dxa"/>
            <w:tcBorders>
              <w:top w:val="nil"/>
              <w:left w:val="nil"/>
              <w:bottom w:val="nil"/>
              <w:right w:val="nil"/>
            </w:tcBorders>
          </w:tcPr>
          <w:p w14:paraId="33338700"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0.17*</w:t>
            </w:r>
          </w:p>
        </w:tc>
        <w:tc>
          <w:tcPr>
            <w:tcW w:w="886" w:type="dxa"/>
            <w:tcBorders>
              <w:top w:val="nil"/>
              <w:left w:val="nil"/>
              <w:bottom w:val="nil"/>
              <w:right w:val="nil"/>
            </w:tcBorders>
          </w:tcPr>
          <w:p w14:paraId="5ACED81A"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-0.24*</w:t>
            </w:r>
          </w:p>
        </w:tc>
        <w:tc>
          <w:tcPr>
            <w:tcW w:w="887" w:type="dxa"/>
            <w:tcBorders>
              <w:top w:val="nil"/>
              <w:left w:val="nil"/>
              <w:bottom w:val="nil"/>
              <w:right w:val="nil"/>
            </w:tcBorders>
          </w:tcPr>
          <w:p w14:paraId="4C4533C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0.13*</w:t>
            </w:r>
          </w:p>
        </w:tc>
        <w:tc>
          <w:tcPr>
            <w:tcW w:w="886" w:type="dxa"/>
            <w:tcBorders>
              <w:top w:val="nil"/>
              <w:left w:val="nil"/>
              <w:bottom w:val="nil"/>
              <w:right w:val="nil"/>
            </w:tcBorders>
          </w:tcPr>
          <w:p w14:paraId="15DFA346"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-0.18*</w:t>
            </w:r>
          </w:p>
        </w:tc>
        <w:tc>
          <w:tcPr>
            <w:tcW w:w="917" w:type="dxa"/>
            <w:tcBorders>
              <w:top w:val="nil"/>
              <w:left w:val="nil"/>
              <w:bottom w:val="nil"/>
              <w:right w:val="nil"/>
            </w:tcBorders>
          </w:tcPr>
          <w:p w14:paraId="3F876954"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0.19*</w:t>
            </w:r>
          </w:p>
        </w:tc>
        <w:tc>
          <w:tcPr>
            <w:tcW w:w="850" w:type="dxa"/>
            <w:tcBorders>
              <w:top w:val="nil"/>
              <w:left w:val="nil"/>
              <w:bottom w:val="nil"/>
              <w:right w:val="nil"/>
            </w:tcBorders>
          </w:tcPr>
          <w:p w14:paraId="48E09E7F"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-0.10*</w:t>
            </w:r>
          </w:p>
        </w:tc>
      </w:tr>
      <w:tr w:rsidR="009C4AE1" w:rsidRPr="000276E5" w14:paraId="013307E5" w14:textId="77777777" w:rsidTr="00BA7963">
        <w:tc>
          <w:tcPr>
            <w:tcW w:w="456" w:type="dxa"/>
            <w:tcBorders>
              <w:top w:val="nil"/>
              <w:left w:val="nil"/>
              <w:bottom w:val="nil"/>
              <w:right w:val="nil"/>
            </w:tcBorders>
          </w:tcPr>
          <w:p w14:paraId="1FE176FC"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12</w:t>
            </w:r>
          </w:p>
        </w:tc>
        <w:tc>
          <w:tcPr>
            <w:tcW w:w="3977" w:type="dxa"/>
            <w:tcBorders>
              <w:top w:val="nil"/>
              <w:left w:val="nil"/>
              <w:bottom w:val="nil"/>
              <w:right w:val="nil"/>
            </w:tcBorders>
          </w:tcPr>
          <w:p w14:paraId="279E7731" w14:textId="77777777" w:rsidR="009C4AE1" w:rsidRPr="000276E5" w:rsidRDefault="009C4AE1" w:rsidP="00BA7963">
            <w:pPr>
              <w:spacing w:line="340" w:lineRule="exact"/>
              <w:rPr>
                <w:rFonts w:ascii="Times New Roman" w:hAnsi="Times New Roman" w:cs="Times New Roman"/>
                <w:strike/>
                <w:color w:val="000000" w:themeColor="text1"/>
                <w:sz w:val="24"/>
                <w:szCs w:val="24"/>
              </w:rPr>
            </w:pPr>
            <w:proofErr w:type="spellStart"/>
            <w:r w:rsidRPr="000276E5">
              <w:rPr>
                <w:rFonts w:ascii="Times New Roman" w:hAnsi="Times New Roman" w:cs="Times New Roman"/>
                <w:color w:val="000000" w:themeColor="text1"/>
                <w:sz w:val="24"/>
                <w:szCs w:val="24"/>
              </w:rPr>
              <w:t>Buyer’s</w:t>
            </w:r>
            <w:proofErr w:type="spellEnd"/>
            <w:r w:rsidRPr="000276E5">
              <w:rPr>
                <w:rFonts w:ascii="Times New Roman" w:hAnsi="Times New Roman" w:cs="Times New Roman"/>
                <w:color w:val="000000" w:themeColor="text1"/>
                <w:sz w:val="24"/>
                <w:szCs w:val="24"/>
              </w:rPr>
              <w:t xml:space="preserve"> </w:t>
            </w:r>
            <w:proofErr w:type="spellStart"/>
            <w:r w:rsidRPr="000276E5">
              <w:rPr>
                <w:rFonts w:ascii="Times New Roman" w:hAnsi="Times New Roman" w:cs="Times New Roman"/>
                <w:color w:val="000000" w:themeColor="text1"/>
                <w:sz w:val="24"/>
                <w:szCs w:val="24"/>
              </w:rPr>
              <w:t>leverage</w:t>
            </w:r>
            <w:proofErr w:type="spellEnd"/>
          </w:p>
        </w:tc>
        <w:tc>
          <w:tcPr>
            <w:tcW w:w="884" w:type="dxa"/>
            <w:tcBorders>
              <w:top w:val="nil"/>
              <w:left w:val="nil"/>
              <w:bottom w:val="nil"/>
              <w:right w:val="nil"/>
            </w:tcBorders>
          </w:tcPr>
          <w:p w14:paraId="054F5DE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-0.03</w:t>
            </w:r>
          </w:p>
        </w:tc>
        <w:tc>
          <w:tcPr>
            <w:tcW w:w="887" w:type="dxa"/>
            <w:tcBorders>
              <w:top w:val="nil"/>
              <w:left w:val="nil"/>
              <w:bottom w:val="nil"/>
              <w:right w:val="nil"/>
            </w:tcBorders>
          </w:tcPr>
          <w:p w14:paraId="50D15ABA" w14:textId="77777777" w:rsidR="009C4AE1" w:rsidRDefault="009C4AE1" w:rsidP="00BA7963">
            <w:pPr>
              <w:jc w:val="both"/>
            </w:pPr>
            <w:r>
              <w:rPr>
                <w:rFonts w:ascii="Times New Roman" w:hAnsi="Times New Roman" w:cs="Times New Roman"/>
                <w:sz w:val="24"/>
                <w:szCs w:val="24"/>
              </w:rPr>
              <w:t>-</w:t>
            </w:r>
            <w:r w:rsidRPr="00FC4309">
              <w:rPr>
                <w:rFonts w:ascii="Times New Roman" w:hAnsi="Times New Roman" w:cs="Times New Roman"/>
                <w:sz w:val="24"/>
                <w:szCs w:val="24"/>
              </w:rPr>
              <w:t>0.0</w:t>
            </w:r>
            <w:r>
              <w:rPr>
                <w:rFonts w:ascii="Times New Roman" w:hAnsi="Times New Roman" w:cs="Times New Roman"/>
                <w:sz w:val="24"/>
                <w:szCs w:val="24"/>
              </w:rPr>
              <w:t>4*</w:t>
            </w:r>
          </w:p>
        </w:tc>
        <w:tc>
          <w:tcPr>
            <w:tcW w:w="886" w:type="dxa"/>
            <w:tcBorders>
              <w:top w:val="nil"/>
              <w:left w:val="nil"/>
              <w:bottom w:val="nil"/>
              <w:right w:val="nil"/>
            </w:tcBorders>
          </w:tcPr>
          <w:p w14:paraId="0A92712F"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-0.04</w:t>
            </w:r>
          </w:p>
        </w:tc>
        <w:tc>
          <w:tcPr>
            <w:tcW w:w="885" w:type="dxa"/>
            <w:tcBorders>
              <w:top w:val="nil"/>
              <w:left w:val="nil"/>
              <w:bottom w:val="nil"/>
              <w:right w:val="nil"/>
            </w:tcBorders>
          </w:tcPr>
          <w:p w14:paraId="2F0CC2DC"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-0.01</w:t>
            </w:r>
          </w:p>
        </w:tc>
        <w:tc>
          <w:tcPr>
            <w:tcW w:w="887" w:type="dxa"/>
            <w:tcBorders>
              <w:top w:val="nil"/>
              <w:left w:val="nil"/>
              <w:bottom w:val="nil"/>
              <w:right w:val="nil"/>
            </w:tcBorders>
          </w:tcPr>
          <w:p w14:paraId="179C40E6"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-0.02</w:t>
            </w:r>
          </w:p>
        </w:tc>
        <w:tc>
          <w:tcPr>
            <w:tcW w:w="886" w:type="dxa"/>
            <w:tcBorders>
              <w:top w:val="nil"/>
              <w:left w:val="nil"/>
              <w:bottom w:val="nil"/>
              <w:right w:val="nil"/>
            </w:tcBorders>
          </w:tcPr>
          <w:p w14:paraId="60727C4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-0.03</w:t>
            </w:r>
          </w:p>
        </w:tc>
        <w:tc>
          <w:tcPr>
            <w:tcW w:w="887" w:type="dxa"/>
            <w:tcBorders>
              <w:top w:val="nil"/>
              <w:left w:val="nil"/>
              <w:bottom w:val="nil"/>
              <w:right w:val="nil"/>
            </w:tcBorders>
          </w:tcPr>
          <w:p w14:paraId="231605D6"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0.01</w:t>
            </w:r>
          </w:p>
        </w:tc>
        <w:tc>
          <w:tcPr>
            <w:tcW w:w="886" w:type="dxa"/>
            <w:tcBorders>
              <w:top w:val="nil"/>
              <w:left w:val="nil"/>
              <w:bottom w:val="nil"/>
              <w:right w:val="nil"/>
            </w:tcBorders>
          </w:tcPr>
          <w:p w14:paraId="1EEAA10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-0.03</w:t>
            </w:r>
          </w:p>
        </w:tc>
        <w:tc>
          <w:tcPr>
            <w:tcW w:w="917" w:type="dxa"/>
            <w:tcBorders>
              <w:top w:val="nil"/>
              <w:left w:val="nil"/>
              <w:bottom w:val="nil"/>
              <w:right w:val="nil"/>
            </w:tcBorders>
          </w:tcPr>
          <w:p w14:paraId="2A2FA165"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-0.05*</w:t>
            </w:r>
          </w:p>
        </w:tc>
        <w:tc>
          <w:tcPr>
            <w:tcW w:w="850" w:type="dxa"/>
            <w:tcBorders>
              <w:top w:val="nil"/>
              <w:left w:val="nil"/>
              <w:bottom w:val="nil"/>
              <w:right w:val="nil"/>
            </w:tcBorders>
          </w:tcPr>
          <w:p w14:paraId="004F671A"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-0.03</w:t>
            </w:r>
          </w:p>
        </w:tc>
      </w:tr>
      <w:tr w:rsidR="009C4AE1" w:rsidRPr="000276E5" w14:paraId="1E464D1F" w14:textId="77777777" w:rsidTr="00BA7963">
        <w:tc>
          <w:tcPr>
            <w:tcW w:w="456" w:type="dxa"/>
            <w:tcBorders>
              <w:top w:val="nil"/>
              <w:left w:val="nil"/>
              <w:bottom w:val="nil"/>
              <w:right w:val="nil"/>
            </w:tcBorders>
          </w:tcPr>
          <w:p w14:paraId="1DC29F8E"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13</w:t>
            </w:r>
          </w:p>
        </w:tc>
        <w:tc>
          <w:tcPr>
            <w:tcW w:w="3977" w:type="dxa"/>
            <w:tcBorders>
              <w:top w:val="nil"/>
              <w:left w:val="nil"/>
              <w:bottom w:val="nil"/>
              <w:right w:val="nil"/>
            </w:tcBorders>
          </w:tcPr>
          <w:p w14:paraId="4E6FD7C0"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color w:val="000000" w:themeColor="text1"/>
                <w:sz w:val="24"/>
                <w:szCs w:val="24"/>
              </w:rPr>
              <w:t>Buyer’s</w:t>
            </w:r>
            <w:proofErr w:type="spellEnd"/>
            <w:r w:rsidRPr="000276E5">
              <w:rPr>
                <w:rFonts w:ascii="Times New Roman" w:hAnsi="Times New Roman" w:cs="Times New Roman"/>
                <w:color w:val="000000" w:themeColor="text1"/>
                <w:sz w:val="24"/>
                <w:szCs w:val="24"/>
              </w:rPr>
              <w:t xml:space="preserve"> </w:t>
            </w:r>
            <w:proofErr w:type="spellStart"/>
            <w:r w:rsidRPr="000276E5">
              <w:rPr>
                <w:rFonts w:ascii="Times New Roman" w:hAnsi="Times New Roman" w:cs="Times New Roman"/>
                <w:color w:val="000000" w:themeColor="text1"/>
                <w:sz w:val="24"/>
                <w:szCs w:val="24"/>
              </w:rPr>
              <w:t>market</w:t>
            </w:r>
            <w:proofErr w:type="spellEnd"/>
            <w:r w:rsidRPr="000276E5">
              <w:rPr>
                <w:rFonts w:ascii="Times New Roman" w:hAnsi="Times New Roman" w:cs="Times New Roman"/>
                <w:color w:val="000000" w:themeColor="text1"/>
                <w:sz w:val="24"/>
                <w:szCs w:val="24"/>
              </w:rPr>
              <w:t xml:space="preserve"> share</w:t>
            </w:r>
          </w:p>
        </w:tc>
        <w:tc>
          <w:tcPr>
            <w:tcW w:w="884" w:type="dxa"/>
            <w:tcBorders>
              <w:top w:val="nil"/>
              <w:left w:val="nil"/>
              <w:bottom w:val="nil"/>
              <w:right w:val="nil"/>
            </w:tcBorders>
          </w:tcPr>
          <w:p w14:paraId="33B4B2A6"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0.10*</w:t>
            </w:r>
          </w:p>
        </w:tc>
        <w:tc>
          <w:tcPr>
            <w:tcW w:w="887" w:type="dxa"/>
            <w:tcBorders>
              <w:top w:val="nil"/>
              <w:left w:val="nil"/>
              <w:bottom w:val="nil"/>
              <w:right w:val="nil"/>
            </w:tcBorders>
          </w:tcPr>
          <w:p w14:paraId="3636523D" w14:textId="77777777" w:rsidR="009C4AE1" w:rsidRDefault="009C4AE1" w:rsidP="00BA7963">
            <w:pPr>
              <w:jc w:val="both"/>
            </w:pPr>
            <w:r>
              <w:rPr>
                <w:rFonts w:ascii="Times New Roman" w:hAnsi="Times New Roman" w:cs="Times New Roman"/>
                <w:sz w:val="24"/>
                <w:szCs w:val="24"/>
              </w:rPr>
              <w:t>-</w:t>
            </w:r>
            <w:r w:rsidRPr="00FC4309">
              <w:rPr>
                <w:rFonts w:ascii="Times New Roman" w:hAnsi="Times New Roman" w:cs="Times New Roman"/>
                <w:sz w:val="24"/>
                <w:szCs w:val="24"/>
              </w:rPr>
              <w:t>0.</w:t>
            </w:r>
            <w:r>
              <w:rPr>
                <w:rFonts w:ascii="Times New Roman" w:hAnsi="Times New Roman" w:cs="Times New Roman"/>
                <w:sz w:val="24"/>
                <w:szCs w:val="24"/>
              </w:rPr>
              <w:t>05</w:t>
            </w:r>
            <w:r w:rsidRPr="00FC4309">
              <w:rPr>
                <w:rFonts w:ascii="Times New Roman" w:hAnsi="Times New Roman" w:cs="Times New Roman"/>
                <w:sz w:val="24"/>
                <w:szCs w:val="24"/>
              </w:rPr>
              <w:t>*</w:t>
            </w:r>
          </w:p>
        </w:tc>
        <w:tc>
          <w:tcPr>
            <w:tcW w:w="886" w:type="dxa"/>
            <w:tcBorders>
              <w:top w:val="nil"/>
              <w:left w:val="nil"/>
              <w:bottom w:val="nil"/>
              <w:right w:val="nil"/>
            </w:tcBorders>
          </w:tcPr>
          <w:p w14:paraId="5CFDB005"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0.01</w:t>
            </w:r>
          </w:p>
        </w:tc>
        <w:tc>
          <w:tcPr>
            <w:tcW w:w="885" w:type="dxa"/>
            <w:tcBorders>
              <w:top w:val="nil"/>
              <w:left w:val="nil"/>
              <w:bottom w:val="nil"/>
              <w:right w:val="nil"/>
            </w:tcBorders>
          </w:tcPr>
          <w:p w14:paraId="0B56A30F"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0.01</w:t>
            </w:r>
          </w:p>
        </w:tc>
        <w:tc>
          <w:tcPr>
            <w:tcW w:w="887" w:type="dxa"/>
            <w:tcBorders>
              <w:top w:val="nil"/>
              <w:left w:val="nil"/>
              <w:bottom w:val="nil"/>
              <w:right w:val="nil"/>
            </w:tcBorders>
          </w:tcPr>
          <w:p w14:paraId="15BA37DD"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-0.03</w:t>
            </w:r>
          </w:p>
        </w:tc>
        <w:tc>
          <w:tcPr>
            <w:tcW w:w="886" w:type="dxa"/>
            <w:tcBorders>
              <w:top w:val="nil"/>
              <w:left w:val="nil"/>
              <w:bottom w:val="nil"/>
              <w:right w:val="nil"/>
            </w:tcBorders>
          </w:tcPr>
          <w:p w14:paraId="23FDE2B8"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0.02</w:t>
            </w:r>
          </w:p>
        </w:tc>
        <w:tc>
          <w:tcPr>
            <w:tcW w:w="887" w:type="dxa"/>
            <w:tcBorders>
              <w:top w:val="nil"/>
              <w:left w:val="nil"/>
              <w:bottom w:val="nil"/>
              <w:right w:val="nil"/>
            </w:tcBorders>
          </w:tcPr>
          <w:p w14:paraId="5DEF609E"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0.05*</w:t>
            </w:r>
            <w:r w:rsidRPr="000276E5">
              <w:rPr>
                <w:rFonts w:ascii="Times New Roman" w:hAnsi="Times New Roman" w:cs="Times New Roman"/>
                <w:sz w:val="24"/>
                <w:szCs w:val="24"/>
                <w:vertAlign w:val="superscript"/>
              </w:rPr>
              <w:t xml:space="preserve"> </w:t>
            </w:r>
          </w:p>
        </w:tc>
        <w:tc>
          <w:tcPr>
            <w:tcW w:w="886" w:type="dxa"/>
            <w:tcBorders>
              <w:top w:val="nil"/>
              <w:left w:val="nil"/>
              <w:bottom w:val="nil"/>
              <w:right w:val="nil"/>
            </w:tcBorders>
          </w:tcPr>
          <w:p w14:paraId="435A7AF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0.01</w:t>
            </w:r>
          </w:p>
        </w:tc>
        <w:tc>
          <w:tcPr>
            <w:tcW w:w="917" w:type="dxa"/>
            <w:tcBorders>
              <w:top w:val="nil"/>
              <w:left w:val="nil"/>
              <w:bottom w:val="nil"/>
              <w:right w:val="nil"/>
            </w:tcBorders>
          </w:tcPr>
          <w:p w14:paraId="012B5ED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0.06*</w:t>
            </w:r>
          </w:p>
        </w:tc>
        <w:tc>
          <w:tcPr>
            <w:tcW w:w="850" w:type="dxa"/>
            <w:tcBorders>
              <w:top w:val="nil"/>
              <w:left w:val="nil"/>
              <w:bottom w:val="nil"/>
              <w:right w:val="nil"/>
            </w:tcBorders>
          </w:tcPr>
          <w:p w14:paraId="77E16E0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-0.03</w:t>
            </w:r>
          </w:p>
        </w:tc>
      </w:tr>
      <w:tr w:rsidR="009C4AE1" w:rsidRPr="000276E5" w14:paraId="4A5F4C6F" w14:textId="77777777" w:rsidTr="00BA7963">
        <w:tc>
          <w:tcPr>
            <w:tcW w:w="456" w:type="dxa"/>
            <w:tcBorders>
              <w:top w:val="nil"/>
              <w:left w:val="nil"/>
              <w:bottom w:val="nil"/>
              <w:right w:val="nil"/>
            </w:tcBorders>
          </w:tcPr>
          <w:p w14:paraId="0A097029"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14</w:t>
            </w:r>
          </w:p>
        </w:tc>
        <w:tc>
          <w:tcPr>
            <w:tcW w:w="3977" w:type="dxa"/>
            <w:tcBorders>
              <w:top w:val="nil"/>
              <w:left w:val="nil"/>
              <w:bottom w:val="nil"/>
              <w:right w:val="nil"/>
            </w:tcBorders>
          </w:tcPr>
          <w:p w14:paraId="27209CD4" w14:textId="77777777" w:rsidR="009C4AE1" w:rsidRPr="000276E5" w:rsidRDefault="009C4AE1" w:rsidP="00BA7963">
            <w:pPr>
              <w:spacing w:line="340" w:lineRule="exact"/>
              <w:rPr>
                <w:rFonts w:ascii="Times New Roman" w:hAnsi="Times New Roman" w:cs="Times New Roman"/>
                <w:strike/>
                <w:color w:val="000000" w:themeColor="text1"/>
                <w:sz w:val="24"/>
                <w:szCs w:val="24"/>
              </w:rPr>
            </w:pPr>
            <w:proofErr w:type="spellStart"/>
            <w:r w:rsidRPr="000276E5">
              <w:rPr>
                <w:rFonts w:ascii="Times New Roman" w:hAnsi="Times New Roman" w:cs="Times New Roman"/>
                <w:color w:val="000000" w:themeColor="text1"/>
                <w:sz w:val="24"/>
                <w:szCs w:val="24"/>
              </w:rPr>
              <w:t>Buyer’s</w:t>
            </w:r>
            <w:proofErr w:type="spellEnd"/>
            <w:r w:rsidRPr="000276E5">
              <w:rPr>
                <w:rFonts w:ascii="Times New Roman" w:hAnsi="Times New Roman" w:cs="Times New Roman"/>
                <w:color w:val="000000" w:themeColor="text1"/>
                <w:sz w:val="24"/>
                <w:szCs w:val="24"/>
              </w:rPr>
              <w:t xml:space="preserve"> </w:t>
            </w:r>
            <w:proofErr w:type="spellStart"/>
            <w:r w:rsidRPr="000276E5">
              <w:rPr>
                <w:rFonts w:ascii="Times New Roman" w:hAnsi="Times New Roman" w:cs="Times New Roman"/>
                <w:color w:val="000000" w:themeColor="text1"/>
                <w:sz w:val="24"/>
                <w:szCs w:val="24"/>
              </w:rPr>
              <w:t>business</w:t>
            </w:r>
            <w:proofErr w:type="spellEnd"/>
            <w:r w:rsidRPr="000276E5">
              <w:rPr>
                <w:rFonts w:ascii="Times New Roman" w:hAnsi="Times New Roman" w:cs="Times New Roman"/>
                <w:color w:val="000000" w:themeColor="text1"/>
                <w:sz w:val="24"/>
                <w:szCs w:val="24"/>
              </w:rPr>
              <w:t xml:space="preserve"> </w:t>
            </w:r>
            <w:proofErr w:type="spellStart"/>
            <w:r w:rsidRPr="000276E5">
              <w:rPr>
                <w:rFonts w:ascii="Times New Roman" w:hAnsi="Times New Roman" w:cs="Times New Roman"/>
                <w:color w:val="000000" w:themeColor="text1"/>
                <w:sz w:val="24"/>
                <w:szCs w:val="24"/>
              </w:rPr>
              <w:t>segment</w:t>
            </w:r>
            <w:proofErr w:type="spellEnd"/>
          </w:p>
        </w:tc>
        <w:tc>
          <w:tcPr>
            <w:tcW w:w="884" w:type="dxa"/>
            <w:tcBorders>
              <w:top w:val="nil"/>
              <w:left w:val="nil"/>
              <w:bottom w:val="nil"/>
              <w:right w:val="nil"/>
            </w:tcBorders>
          </w:tcPr>
          <w:p w14:paraId="292D32E1"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0.03</w:t>
            </w:r>
          </w:p>
        </w:tc>
        <w:tc>
          <w:tcPr>
            <w:tcW w:w="887" w:type="dxa"/>
            <w:tcBorders>
              <w:top w:val="nil"/>
              <w:left w:val="nil"/>
              <w:bottom w:val="nil"/>
              <w:right w:val="nil"/>
            </w:tcBorders>
          </w:tcPr>
          <w:p w14:paraId="4605AE9D" w14:textId="77777777" w:rsidR="009C4AE1" w:rsidRDefault="009C4AE1" w:rsidP="00BA7963">
            <w:pPr>
              <w:jc w:val="both"/>
            </w:pPr>
            <w:r>
              <w:rPr>
                <w:rFonts w:ascii="Times New Roman" w:hAnsi="Times New Roman" w:cs="Times New Roman"/>
                <w:sz w:val="24"/>
                <w:szCs w:val="24"/>
              </w:rPr>
              <w:t>-</w:t>
            </w:r>
            <w:r w:rsidRPr="00FC4309">
              <w:rPr>
                <w:rFonts w:ascii="Times New Roman" w:hAnsi="Times New Roman" w:cs="Times New Roman"/>
                <w:sz w:val="24"/>
                <w:szCs w:val="24"/>
              </w:rPr>
              <w:t>0.</w:t>
            </w:r>
            <w:r>
              <w:rPr>
                <w:rFonts w:ascii="Times New Roman" w:hAnsi="Times New Roman" w:cs="Times New Roman"/>
                <w:sz w:val="24"/>
                <w:szCs w:val="24"/>
              </w:rPr>
              <w:t>18</w:t>
            </w:r>
            <w:r w:rsidRPr="00FC4309">
              <w:rPr>
                <w:rFonts w:ascii="Times New Roman" w:hAnsi="Times New Roman" w:cs="Times New Roman"/>
                <w:sz w:val="24"/>
                <w:szCs w:val="24"/>
              </w:rPr>
              <w:t>*</w:t>
            </w:r>
          </w:p>
        </w:tc>
        <w:tc>
          <w:tcPr>
            <w:tcW w:w="886" w:type="dxa"/>
            <w:tcBorders>
              <w:top w:val="nil"/>
              <w:left w:val="nil"/>
              <w:bottom w:val="nil"/>
              <w:right w:val="nil"/>
            </w:tcBorders>
          </w:tcPr>
          <w:p w14:paraId="6308A4CF"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0.17*</w:t>
            </w:r>
          </w:p>
        </w:tc>
        <w:tc>
          <w:tcPr>
            <w:tcW w:w="885" w:type="dxa"/>
            <w:tcBorders>
              <w:top w:val="nil"/>
              <w:left w:val="nil"/>
              <w:bottom w:val="nil"/>
              <w:right w:val="nil"/>
            </w:tcBorders>
          </w:tcPr>
          <w:p w14:paraId="5DA788FE"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-0.15*</w:t>
            </w:r>
          </w:p>
        </w:tc>
        <w:tc>
          <w:tcPr>
            <w:tcW w:w="887" w:type="dxa"/>
            <w:tcBorders>
              <w:top w:val="nil"/>
              <w:left w:val="nil"/>
              <w:bottom w:val="nil"/>
              <w:right w:val="nil"/>
            </w:tcBorders>
          </w:tcPr>
          <w:p w14:paraId="7F3F5269"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0.09*</w:t>
            </w:r>
          </w:p>
        </w:tc>
        <w:tc>
          <w:tcPr>
            <w:tcW w:w="886" w:type="dxa"/>
            <w:tcBorders>
              <w:top w:val="nil"/>
              <w:left w:val="nil"/>
              <w:bottom w:val="nil"/>
              <w:right w:val="nil"/>
            </w:tcBorders>
          </w:tcPr>
          <w:p w14:paraId="3B4973B1"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-0.16*</w:t>
            </w:r>
          </w:p>
        </w:tc>
        <w:tc>
          <w:tcPr>
            <w:tcW w:w="887" w:type="dxa"/>
            <w:tcBorders>
              <w:top w:val="nil"/>
              <w:left w:val="nil"/>
              <w:bottom w:val="nil"/>
              <w:right w:val="nil"/>
            </w:tcBorders>
          </w:tcPr>
          <w:p w14:paraId="0BE8165C"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0.11*</w:t>
            </w:r>
          </w:p>
        </w:tc>
        <w:tc>
          <w:tcPr>
            <w:tcW w:w="886" w:type="dxa"/>
            <w:tcBorders>
              <w:top w:val="nil"/>
              <w:left w:val="nil"/>
              <w:bottom w:val="nil"/>
              <w:right w:val="nil"/>
            </w:tcBorders>
          </w:tcPr>
          <w:p w14:paraId="61AE7EB8"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-0.13*</w:t>
            </w:r>
          </w:p>
        </w:tc>
        <w:tc>
          <w:tcPr>
            <w:tcW w:w="917" w:type="dxa"/>
            <w:tcBorders>
              <w:top w:val="nil"/>
              <w:left w:val="nil"/>
              <w:bottom w:val="nil"/>
              <w:right w:val="nil"/>
            </w:tcBorders>
          </w:tcPr>
          <w:p w14:paraId="7E4034A1"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0.18*</w:t>
            </w:r>
          </w:p>
        </w:tc>
        <w:tc>
          <w:tcPr>
            <w:tcW w:w="850" w:type="dxa"/>
            <w:tcBorders>
              <w:top w:val="nil"/>
              <w:left w:val="nil"/>
              <w:bottom w:val="nil"/>
              <w:right w:val="nil"/>
            </w:tcBorders>
          </w:tcPr>
          <w:p w14:paraId="002FF1E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-0.11*</w:t>
            </w:r>
          </w:p>
        </w:tc>
      </w:tr>
      <w:tr w:rsidR="009C4AE1" w:rsidRPr="000276E5" w14:paraId="176DC223" w14:textId="77777777" w:rsidTr="00BA7963">
        <w:tc>
          <w:tcPr>
            <w:tcW w:w="456" w:type="dxa"/>
            <w:tcBorders>
              <w:top w:val="nil"/>
              <w:left w:val="nil"/>
              <w:bottom w:val="nil"/>
              <w:right w:val="nil"/>
            </w:tcBorders>
          </w:tcPr>
          <w:p w14:paraId="4504164B"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15</w:t>
            </w:r>
          </w:p>
        </w:tc>
        <w:tc>
          <w:tcPr>
            <w:tcW w:w="3977" w:type="dxa"/>
            <w:tcBorders>
              <w:top w:val="nil"/>
              <w:left w:val="nil"/>
              <w:bottom w:val="nil"/>
              <w:right w:val="nil"/>
            </w:tcBorders>
          </w:tcPr>
          <w:p w14:paraId="48D8068C"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color w:val="000000" w:themeColor="text1"/>
                <w:sz w:val="24"/>
                <w:szCs w:val="24"/>
              </w:rPr>
              <w:t>Buyer’s</w:t>
            </w:r>
            <w:proofErr w:type="spellEnd"/>
            <w:r w:rsidRPr="000276E5">
              <w:rPr>
                <w:rFonts w:ascii="Times New Roman" w:hAnsi="Times New Roman" w:cs="Times New Roman"/>
                <w:color w:val="000000" w:themeColor="text1"/>
                <w:sz w:val="24"/>
                <w:szCs w:val="24"/>
              </w:rPr>
              <w:t xml:space="preserve"> R&amp;D </w:t>
            </w:r>
            <w:proofErr w:type="spellStart"/>
            <w:r w:rsidRPr="000276E5">
              <w:rPr>
                <w:rFonts w:ascii="Times New Roman" w:hAnsi="Times New Roman" w:cs="Times New Roman"/>
                <w:color w:val="000000" w:themeColor="text1"/>
                <w:sz w:val="24"/>
                <w:szCs w:val="24"/>
              </w:rPr>
              <w:t>intensity</w:t>
            </w:r>
            <w:proofErr w:type="spellEnd"/>
          </w:p>
        </w:tc>
        <w:tc>
          <w:tcPr>
            <w:tcW w:w="884" w:type="dxa"/>
            <w:tcBorders>
              <w:top w:val="nil"/>
              <w:left w:val="nil"/>
              <w:bottom w:val="nil"/>
              <w:right w:val="nil"/>
            </w:tcBorders>
          </w:tcPr>
          <w:p w14:paraId="228017C1"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0.43*</w:t>
            </w:r>
          </w:p>
        </w:tc>
        <w:tc>
          <w:tcPr>
            <w:tcW w:w="887" w:type="dxa"/>
            <w:tcBorders>
              <w:top w:val="nil"/>
              <w:left w:val="nil"/>
              <w:bottom w:val="nil"/>
              <w:right w:val="nil"/>
            </w:tcBorders>
          </w:tcPr>
          <w:p w14:paraId="271C1A5C"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w:t>
            </w:r>
            <w:r>
              <w:rPr>
                <w:rFonts w:ascii="Times New Roman" w:hAnsi="Times New Roman" w:cs="Times New Roman"/>
                <w:sz w:val="24"/>
                <w:szCs w:val="24"/>
              </w:rPr>
              <w:t>40</w:t>
            </w:r>
            <w:r w:rsidRPr="00FC4309">
              <w:rPr>
                <w:rFonts w:ascii="Times New Roman" w:hAnsi="Times New Roman" w:cs="Times New Roman"/>
                <w:sz w:val="24"/>
                <w:szCs w:val="24"/>
              </w:rPr>
              <w:t>*</w:t>
            </w:r>
          </w:p>
        </w:tc>
        <w:tc>
          <w:tcPr>
            <w:tcW w:w="886" w:type="dxa"/>
            <w:tcBorders>
              <w:top w:val="nil"/>
              <w:left w:val="nil"/>
              <w:bottom w:val="nil"/>
              <w:right w:val="nil"/>
            </w:tcBorders>
          </w:tcPr>
          <w:p w14:paraId="7C2C0DB1"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0.09*</w:t>
            </w:r>
          </w:p>
        </w:tc>
        <w:tc>
          <w:tcPr>
            <w:tcW w:w="885" w:type="dxa"/>
            <w:tcBorders>
              <w:top w:val="nil"/>
              <w:left w:val="nil"/>
              <w:bottom w:val="nil"/>
              <w:right w:val="nil"/>
            </w:tcBorders>
          </w:tcPr>
          <w:p w14:paraId="41162A1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0.12*</w:t>
            </w:r>
          </w:p>
        </w:tc>
        <w:tc>
          <w:tcPr>
            <w:tcW w:w="887" w:type="dxa"/>
            <w:tcBorders>
              <w:top w:val="nil"/>
              <w:left w:val="nil"/>
              <w:bottom w:val="nil"/>
              <w:right w:val="nil"/>
            </w:tcBorders>
          </w:tcPr>
          <w:p w14:paraId="0A58EE9A"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0.08*</w:t>
            </w:r>
          </w:p>
        </w:tc>
        <w:tc>
          <w:tcPr>
            <w:tcW w:w="886" w:type="dxa"/>
            <w:tcBorders>
              <w:top w:val="nil"/>
              <w:left w:val="nil"/>
              <w:bottom w:val="nil"/>
              <w:right w:val="nil"/>
            </w:tcBorders>
          </w:tcPr>
          <w:p w14:paraId="10C6394E"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0.10*</w:t>
            </w:r>
          </w:p>
        </w:tc>
        <w:tc>
          <w:tcPr>
            <w:tcW w:w="887" w:type="dxa"/>
            <w:tcBorders>
              <w:top w:val="nil"/>
              <w:left w:val="nil"/>
              <w:bottom w:val="nil"/>
              <w:right w:val="nil"/>
            </w:tcBorders>
          </w:tcPr>
          <w:p w14:paraId="1F911105"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0.06*</w:t>
            </w:r>
          </w:p>
        </w:tc>
        <w:tc>
          <w:tcPr>
            <w:tcW w:w="886" w:type="dxa"/>
            <w:tcBorders>
              <w:top w:val="nil"/>
              <w:left w:val="nil"/>
              <w:bottom w:val="nil"/>
              <w:right w:val="nil"/>
            </w:tcBorders>
          </w:tcPr>
          <w:p w14:paraId="1B46C2B0"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0.00</w:t>
            </w:r>
          </w:p>
        </w:tc>
        <w:tc>
          <w:tcPr>
            <w:tcW w:w="917" w:type="dxa"/>
            <w:tcBorders>
              <w:top w:val="nil"/>
              <w:left w:val="nil"/>
              <w:bottom w:val="nil"/>
              <w:right w:val="nil"/>
            </w:tcBorders>
          </w:tcPr>
          <w:p w14:paraId="04A79390"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0.09*</w:t>
            </w:r>
          </w:p>
        </w:tc>
        <w:tc>
          <w:tcPr>
            <w:tcW w:w="850" w:type="dxa"/>
            <w:tcBorders>
              <w:top w:val="nil"/>
              <w:left w:val="nil"/>
              <w:bottom w:val="nil"/>
              <w:right w:val="nil"/>
            </w:tcBorders>
          </w:tcPr>
          <w:p w14:paraId="2BD4A294"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0.03</w:t>
            </w:r>
          </w:p>
        </w:tc>
      </w:tr>
      <w:tr w:rsidR="009C4AE1" w:rsidRPr="000276E5" w14:paraId="4E565DA1" w14:textId="77777777" w:rsidTr="00BA7963">
        <w:tc>
          <w:tcPr>
            <w:tcW w:w="456" w:type="dxa"/>
            <w:tcBorders>
              <w:top w:val="nil"/>
              <w:left w:val="nil"/>
              <w:bottom w:val="nil"/>
              <w:right w:val="nil"/>
            </w:tcBorders>
          </w:tcPr>
          <w:p w14:paraId="68BD7F4C"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16</w:t>
            </w:r>
          </w:p>
        </w:tc>
        <w:tc>
          <w:tcPr>
            <w:tcW w:w="3977" w:type="dxa"/>
            <w:tcBorders>
              <w:top w:val="nil"/>
              <w:left w:val="nil"/>
              <w:bottom w:val="nil"/>
              <w:right w:val="nil"/>
            </w:tcBorders>
          </w:tcPr>
          <w:p w14:paraId="48C9647F"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sz w:val="24"/>
                <w:szCs w:val="24"/>
                <w:lang w:val="en-US"/>
              </w:rPr>
              <w:t>Buyer’s relative ESG performance</w:t>
            </w:r>
          </w:p>
        </w:tc>
        <w:tc>
          <w:tcPr>
            <w:tcW w:w="884" w:type="dxa"/>
            <w:tcBorders>
              <w:top w:val="nil"/>
              <w:left w:val="nil"/>
              <w:bottom w:val="nil"/>
              <w:right w:val="nil"/>
            </w:tcBorders>
          </w:tcPr>
          <w:p w14:paraId="71212677"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0.13*</w:t>
            </w:r>
          </w:p>
        </w:tc>
        <w:tc>
          <w:tcPr>
            <w:tcW w:w="887" w:type="dxa"/>
            <w:tcBorders>
              <w:top w:val="nil"/>
              <w:left w:val="nil"/>
              <w:bottom w:val="nil"/>
              <w:right w:val="nil"/>
            </w:tcBorders>
          </w:tcPr>
          <w:p w14:paraId="1FCD8444"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9</w:t>
            </w:r>
            <w:r w:rsidRPr="00FC4309">
              <w:rPr>
                <w:rFonts w:ascii="Times New Roman" w:hAnsi="Times New Roman" w:cs="Times New Roman"/>
                <w:sz w:val="24"/>
                <w:szCs w:val="24"/>
              </w:rPr>
              <w:t>*</w:t>
            </w:r>
          </w:p>
        </w:tc>
        <w:tc>
          <w:tcPr>
            <w:tcW w:w="886" w:type="dxa"/>
            <w:tcBorders>
              <w:top w:val="nil"/>
              <w:left w:val="nil"/>
              <w:bottom w:val="nil"/>
              <w:right w:val="nil"/>
            </w:tcBorders>
          </w:tcPr>
          <w:p w14:paraId="2A57E0DF"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0.40*</w:t>
            </w:r>
          </w:p>
        </w:tc>
        <w:tc>
          <w:tcPr>
            <w:tcW w:w="885" w:type="dxa"/>
            <w:tcBorders>
              <w:top w:val="nil"/>
              <w:left w:val="nil"/>
              <w:bottom w:val="nil"/>
              <w:right w:val="nil"/>
            </w:tcBorders>
          </w:tcPr>
          <w:p w14:paraId="085A9F6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-0.30*</w:t>
            </w:r>
          </w:p>
        </w:tc>
        <w:tc>
          <w:tcPr>
            <w:tcW w:w="887" w:type="dxa"/>
            <w:tcBorders>
              <w:top w:val="nil"/>
              <w:left w:val="nil"/>
              <w:bottom w:val="nil"/>
              <w:right w:val="nil"/>
            </w:tcBorders>
          </w:tcPr>
          <w:p w14:paraId="17A13A50"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0.30*</w:t>
            </w:r>
          </w:p>
        </w:tc>
        <w:tc>
          <w:tcPr>
            <w:tcW w:w="886" w:type="dxa"/>
            <w:tcBorders>
              <w:top w:val="nil"/>
              <w:left w:val="nil"/>
              <w:bottom w:val="nil"/>
              <w:right w:val="nil"/>
            </w:tcBorders>
          </w:tcPr>
          <w:p w14:paraId="1F46BC06"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-0.37*</w:t>
            </w:r>
          </w:p>
        </w:tc>
        <w:tc>
          <w:tcPr>
            <w:tcW w:w="887" w:type="dxa"/>
            <w:tcBorders>
              <w:top w:val="nil"/>
              <w:left w:val="nil"/>
              <w:bottom w:val="nil"/>
              <w:right w:val="nil"/>
            </w:tcBorders>
          </w:tcPr>
          <w:p w14:paraId="77A7E50E"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0.28*</w:t>
            </w:r>
          </w:p>
        </w:tc>
        <w:tc>
          <w:tcPr>
            <w:tcW w:w="886" w:type="dxa"/>
            <w:tcBorders>
              <w:top w:val="nil"/>
              <w:left w:val="nil"/>
              <w:bottom w:val="nil"/>
              <w:right w:val="nil"/>
            </w:tcBorders>
          </w:tcPr>
          <w:p w14:paraId="7F0B30BC"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-0.27*</w:t>
            </w:r>
          </w:p>
        </w:tc>
        <w:tc>
          <w:tcPr>
            <w:tcW w:w="917" w:type="dxa"/>
            <w:tcBorders>
              <w:top w:val="nil"/>
              <w:left w:val="nil"/>
              <w:bottom w:val="nil"/>
              <w:right w:val="nil"/>
            </w:tcBorders>
          </w:tcPr>
          <w:p w14:paraId="6B5996CD"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0.40*</w:t>
            </w:r>
          </w:p>
        </w:tc>
        <w:tc>
          <w:tcPr>
            <w:tcW w:w="850" w:type="dxa"/>
            <w:tcBorders>
              <w:top w:val="nil"/>
              <w:left w:val="nil"/>
              <w:bottom w:val="nil"/>
              <w:right w:val="nil"/>
            </w:tcBorders>
          </w:tcPr>
          <w:p w14:paraId="66FB361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-0.23*</w:t>
            </w:r>
          </w:p>
        </w:tc>
      </w:tr>
      <w:tr w:rsidR="009C4AE1" w:rsidRPr="000276E5" w14:paraId="71048B8D" w14:textId="77777777" w:rsidTr="00BA7963">
        <w:tc>
          <w:tcPr>
            <w:tcW w:w="456" w:type="dxa"/>
            <w:tcBorders>
              <w:top w:val="nil"/>
              <w:left w:val="nil"/>
              <w:bottom w:val="nil"/>
              <w:right w:val="nil"/>
            </w:tcBorders>
          </w:tcPr>
          <w:p w14:paraId="6252C473"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17</w:t>
            </w:r>
          </w:p>
        </w:tc>
        <w:tc>
          <w:tcPr>
            <w:tcW w:w="3977" w:type="dxa"/>
            <w:tcBorders>
              <w:top w:val="nil"/>
              <w:left w:val="nil"/>
              <w:bottom w:val="nil"/>
              <w:right w:val="nil"/>
            </w:tcBorders>
          </w:tcPr>
          <w:p w14:paraId="1C475D40"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sz w:val="24"/>
                <w:szCs w:val="24"/>
                <w:lang w:val="en-US"/>
              </w:rPr>
              <w:t>Supplier’s relative ESG performance</w:t>
            </w:r>
          </w:p>
        </w:tc>
        <w:tc>
          <w:tcPr>
            <w:tcW w:w="884" w:type="dxa"/>
            <w:tcBorders>
              <w:top w:val="nil"/>
              <w:left w:val="nil"/>
              <w:bottom w:val="nil"/>
              <w:right w:val="nil"/>
            </w:tcBorders>
          </w:tcPr>
          <w:p w14:paraId="78D1222F"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0.05*</w:t>
            </w:r>
          </w:p>
        </w:tc>
        <w:tc>
          <w:tcPr>
            <w:tcW w:w="887" w:type="dxa"/>
            <w:tcBorders>
              <w:top w:val="nil"/>
              <w:left w:val="nil"/>
              <w:bottom w:val="nil"/>
              <w:right w:val="nil"/>
            </w:tcBorders>
          </w:tcPr>
          <w:p w14:paraId="0A195F49"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2</w:t>
            </w:r>
          </w:p>
        </w:tc>
        <w:tc>
          <w:tcPr>
            <w:tcW w:w="886" w:type="dxa"/>
            <w:tcBorders>
              <w:top w:val="nil"/>
              <w:left w:val="nil"/>
              <w:bottom w:val="nil"/>
              <w:right w:val="nil"/>
            </w:tcBorders>
          </w:tcPr>
          <w:p w14:paraId="0A6930E4"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-0.42*</w:t>
            </w:r>
          </w:p>
        </w:tc>
        <w:tc>
          <w:tcPr>
            <w:tcW w:w="885" w:type="dxa"/>
            <w:tcBorders>
              <w:top w:val="nil"/>
              <w:left w:val="nil"/>
              <w:bottom w:val="nil"/>
              <w:right w:val="nil"/>
            </w:tcBorders>
          </w:tcPr>
          <w:p w14:paraId="0085453E"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0.29*</w:t>
            </w:r>
          </w:p>
        </w:tc>
        <w:tc>
          <w:tcPr>
            <w:tcW w:w="887" w:type="dxa"/>
            <w:tcBorders>
              <w:top w:val="nil"/>
              <w:left w:val="nil"/>
              <w:bottom w:val="nil"/>
              <w:right w:val="nil"/>
            </w:tcBorders>
          </w:tcPr>
          <w:p w14:paraId="13BE07A9"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-0.44*</w:t>
            </w:r>
          </w:p>
        </w:tc>
        <w:tc>
          <w:tcPr>
            <w:tcW w:w="886" w:type="dxa"/>
            <w:tcBorders>
              <w:top w:val="nil"/>
              <w:left w:val="nil"/>
              <w:bottom w:val="nil"/>
              <w:right w:val="nil"/>
            </w:tcBorders>
          </w:tcPr>
          <w:p w14:paraId="7C389158"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0.25*</w:t>
            </w:r>
          </w:p>
        </w:tc>
        <w:tc>
          <w:tcPr>
            <w:tcW w:w="887" w:type="dxa"/>
            <w:tcBorders>
              <w:top w:val="nil"/>
              <w:left w:val="nil"/>
              <w:bottom w:val="nil"/>
              <w:right w:val="nil"/>
            </w:tcBorders>
          </w:tcPr>
          <w:p w14:paraId="212CD618"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-0.37*</w:t>
            </w:r>
          </w:p>
        </w:tc>
        <w:tc>
          <w:tcPr>
            <w:tcW w:w="886" w:type="dxa"/>
            <w:tcBorders>
              <w:top w:val="nil"/>
              <w:left w:val="nil"/>
              <w:bottom w:val="nil"/>
              <w:right w:val="nil"/>
            </w:tcBorders>
          </w:tcPr>
          <w:p w14:paraId="501E0EFD"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0.26*</w:t>
            </w:r>
          </w:p>
        </w:tc>
        <w:tc>
          <w:tcPr>
            <w:tcW w:w="917" w:type="dxa"/>
            <w:tcBorders>
              <w:top w:val="nil"/>
              <w:left w:val="nil"/>
              <w:bottom w:val="nil"/>
              <w:right w:val="nil"/>
            </w:tcBorders>
          </w:tcPr>
          <w:p w14:paraId="2C31E990"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-0.33*</w:t>
            </w:r>
          </w:p>
        </w:tc>
        <w:tc>
          <w:tcPr>
            <w:tcW w:w="850" w:type="dxa"/>
            <w:tcBorders>
              <w:top w:val="nil"/>
              <w:left w:val="nil"/>
              <w:bottom w:val="nil"/>
              <w:right w:val="nil"/>
            </w:tcBorders>
          </w:tcPr>
          <w:p w14:paraId="11D9F123"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0.29*</w:t>
            </w:r>
          </w:p>
        </w:tc>
      </w:tr>
      <w:tr w:rsidR="009C4AE1" w:rsidRPr="000276E5" w14:paraId="074B4196" w14:textId="77777777" w:rsidTr="00BA7963">
        <w:tc>
          <w:tcPr>
            <w:tcW w:w="456" w:type="dxa"/>
            <w:tcBorders>
              <w:top w:val="nil"/>
              <w:left w:val="nil"/>
              <w:bottom w:val="nil"/>
              <w:right w:val="nil"/>
            </w:tcBorders>
          </w:tcPr>
          <w:p w14:paraId="566A9722"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18</w:t>
            </w:r>
          </w:p>
        </w:tc>
        <w:tc>
          <w:tcPr>
            <w:tcW w:w="3977" w:type="dxa"/>
            <w:tcBorders>
              <w:top w:val="nil"/>
              <w:left w:val="nil"/>
              <w:bottom w:val="nil"/>
              <w:right w:val="nil"/>
            </w:tcBorders>
          </w:tcPr>
          <w:p w14:paraId="5234D761" w14:textId="77777777" w:rsidR="009C4AE1" w:rsidRPr="000276E5" w:rsidRDefault="009C4AE1" w:rsidP="00BA7963">
            <w:pPr>
              <w:spacing w:line="340" w:lineRule="exact"/>
              <w:rPr>
                <w:rFonts w:ascii="Times New Roman" w:hAnsi="Times New Roman" w:cs="Times New Roman"/>
                <w:color w:val="000000" w:themeColor="text1"/>
                <w:sz w:val="24"/>
                <w:szCs w:val="24"/>
              </w:rPr>
            </w:pPr>
            <w:proofErr w:type="spellStart"/>
            <w:r w:rsidRPr="000276E5">
              <w:rPr>
                <w:rFonts w:ascii="Times New Roman" w:hAnsi="Times New Roman" w:cs="Times New Roman"/>
                <w:color w:val="000000" w:themeColor="text1"/>
                <w:sz w:val="24"/>
                <w:szCs w:val="24"/>
              </w:rPr>
              <w:t>Relationship</w:t>
            </w:r>
            <w:proofErr w:type="spellEnd"/>
            <w:r w:rsidRPr="000276E5">
              <w:rPr>
                <w:rFonts w:ascii="Times New Roman" w:hAnsi="Times New Roman" w:cs="Times New Roman"/>
                <w:color w:val="000000" w:themeColor="text1"/>
                <w:sz w:val="24"/>
                <w:szCs w:val="24"/>
              </w:rPr>
              <w:t xml:space="preserve"> </w:t>
            </w:r>
            <w:proofErr w:type="spellStart"/>
            <w:r w:rsidRPr="000276E5">
              <w:rPr>
                <w:rFonts w:ascii="Times New Roman" w:hAnsi="Times New Roman" w:cs="Times New Roman"/>
                <w:color w:val="000000" w:themeColor="text1"/>
                <w:sz w:val="24"/>
                <w:szCs w:val="24"/>
              </w:rPr>
              <w:t>length</w:t>
            </w:r>
            <w:proofErr w:type="spellEnd"/>
          </w:p>
        </w:tc>
        <w:tc>
          <w:tcPr>
            <w:tcW w:w="884" w:type="dxa"/>
            <w:tcBorders>
              <w:top w:val="nil"/>
              <w:left w:val="nil"/>
              <w:bottom w:val="nil"/>
              <w:right w:val="nil"/>
            </w:tcBorders>
          </w:tcPr>
          <w:p w14:paraId="503790E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0.07*</w:t>
            </w:r>
          </w:p>
        </w:tc>
        <w:tc>
          <w:tcPr>
            <w:tcW w:w="887" w:type="dxa"/>
            <w:tcBorders>
              <w:top w:val="nil"/>
              <w:left w:val="nil"/>
              <w:bottom w:val="nil"/>
              <w:right w:val="nil"/>
            </w:tcBorders>
          </w:tcPr>
          <w:p w14:paraId="7EBE1679" w14:textId="77777777" w:rsidR="009C4AE1" w:rsidRDefault="009C4AE1" w:rsidP="00BA7963">
            <w:pPr>
              <w:jc w:val="both"/>
            </w:pPr>
            <w:r>
              <w:rPr>
                <w:rFonts w:ascii="Times New Roman" w:hAnsi="Times New Roman" w:cs="Times New Roman"/>
                <w:sz w:val="24"/>
                <w:szCs w:val="24"/>
              </w:rPr>
              <w:t>-</w:t>
            </w:r>
            <w:r w:rsidRPr="00FC4309">
              <w:rPr>
                <w:rFonts w:ascii="Times New Roman" w:hAnsi="Times New Roman" w:cs="Times New Roman"/>
                <w:sz w:val="24"/>
                <w:szCs w:val="24"/>
              </w:rPr>
              <w:t>0.0</w:t>
            </w:r>
            <w:r>
              <w:rPr>
                <w:rFonts w:ascii="Times New Roman" w:hAnsi="Times New Roman" w:cs="Times New Roman"/>
                <w:sz w:val="24"/>
                <w:szCs w:val="24"/>
              </w:rPr>
              <w:t>1</w:t>
            </w:r>
          </w:p>
        </w:tc>
        <w:tc>
          <w:tcPr>
            <w:tcW w:w="886" w:type="dxa"/>
            <w:tcBorders>
              <w:top w:val="nil"/>
              <w:left w:val="nil"/>
              <w:bottom w:val="nil"/>
              <w:right w:val="nil"/>
            </w:tcBorders>
          </w:tcPr>
          <w:p w14:paraId="5D71212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-0.01</w:t>
            </w:r>
          </w:p>
        </w:tc>
        <w:tc>
          <w:tcPr>
            <w:tcW w:w="885" w:type="dxa"/>
            <w:tcBorders>
              <w:top w:val="nil"/>
              <w:left w:val="nil"/>
              <w:bottom w:val="nil"/>
              <w:right w:val="nil"/>
            </w:tcBorders>
          </w:tcPr>
          <w:p w14:paraId="5810F4E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0.03</w:t>
            </w:r>
          </w:p>
        </w:tc>
        <w:tc>
          <w:tcPr>
            <w:tcW w:w="887" w:type="dxa"/>
            <w:tcBorders>
              <w:top w:val="nil"/>
              <w:left w:val="nil"/>
              <w:bottom w:val="nil"/>
              <w:right w:val="nil"/>
            </w:tcBorders>
          </w:tcPr>
          <w:p w14:paraId="1D8F72A5"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-0.07*</w:t>
            </w:r>
          </w:p>
        </w:tc>
        <w:tc>
          <w:tcPr>
            <w:tcW w:w="886" w:type="dxa"/>
            <w:tcBorders>
              <w:top w:val="nil"/>
              <w:left w:val="nil"/>
              <w:bottom w:val="nil"/>
              <w:right w:val="nil"/>
            </w:tcBorders>
          </w:tcPr>
          <w:p w14:paraId="232DF70A"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-0.03</w:t>
            </w:r>
          </w:p>
        </w:tc>
        <w:tc>
          <w:tcPr>
            <w:tcW w:w="887" w:type="dxa"/>
            <w:tcBorders>
              <w:top w:val="nil"/>
              <w:left w:val="nil"/>
              <w:bottom w:val="nil"/>
              <w:right w:val="nil"/>
            </w:tcBorders>
          </w:tcPr>
          <w:p w14:paraId="356AFEF8"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0.02</w:t>
            </w:r>
          </w:p>
        </w:tc>
        <w:tc>
          <w:tcPr>
            <w:tcW w:w="886" w:type="dxa"/>
            <w:tcBorders>
              <w:top w:val="nil"/>
              <w:left w:val="nil"/>
              <w:bottom w:val="nil"/>
              <w:right w:val="nil"/>
            </w:tcBorders>
          </w:tcPr>
          <w:p w14:paraId="64C43CBE"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0.08*</w:t>
            </w:r>
          </w:p>
        </w:tc>
        <w:tc>
          <w:tcPr>
            <w:tcW w:w="917" w:type="dxa"/>
            <w:tcBorders>
              <w:top w:val="nil"/>
              <w:left w:val="nil"/>
              <w:bottom w:val="nil"/>
              <w:right w:val="nil"/>
            </w:tcBorders>
          </w:tcPr>
          <w:p w14:paraId="575B3E42"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-0.02</w:t>
            </w:r>
          </w:p>
        </w:tc>
        <w:tc>
          <w:tcPr>
            <w:tcW w:w="850" w:type="dxa"/>
            <w:tcBorders>
              <w:top w:val="nil"/>
              <w:left w:val="nil"/>
              <w:bottom w:val="nil"/>
              <w:right w:val="nil"/>
            </w:tcBorders>
          </w:tcPr>
          <w:p w14:paraId="62703FC5"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0.06*</w:t>
            </w:r>
          </w:p>
        </w:tc>
      </w:tr>
      <w:tr w:rsidR="009C4AE1" w:rsidRPr="000276E5" w14:paraId="6650C426" w14:textId="77777777" w:rsidTr="00BA7963">
        <w:tc>
          <w:tcPr>
            <w:tcW w:w="456" w:type="dxa"/>
            <w:tcBorders>
              <w:top w:val="nil"/>
              <w:left w:val="nil"/>
              <w:bottom w:val="nil"/>
              <w:right w:val="nil"/>
            </w:tcBorders>
          </w:tcPr>
          <w:p w14:paraId="6D1FC2E0"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19</w:t>
            </w:r>
          </w:p>
        </w:tc>
        <w:tc>
          <w:tcPr>
            <w:tcW w:w="3977" w:type="dxa"/>
            <w:tcBorders>
              <w:top w:val="nil"/>
              <w:left w:val="nil"/>
              <w:bottom w:val="nil"/>
              <w:right w:val="nil"/>
            </w:tcBorders>
          </w:tcPr>
          <w:p w14:paraId="7683EBBB" w14:textId="77777777" w:rsidR="009C4AE1" w:rsidRPr="000276E5" w:rsidRDefault="009C4AE1" w:rsidP="00BA7963">
            <w:pPr>
              <w:spacing w:line="340" w:lineRule="exact"/>
              <w:rPr>
                <w:rFonts w:ascii="Times New Roman" w:hAnsi="Times New Roman" w:cs="Times New Roman"/>
                <w:strike/>
                <w:color w:val="000000" w:themeColor="text1"/>
                <w:sz w:val="24"/>
                <w:szCs w:val="24"/>
              </w:rPr>
            </w:pPr>
            <w:r w:rsidRPr="000276E5">
              <w:rPr>
                <w:rFonts w:ascii="Times New Roman" w:hAnsi="Times New Roman" w:cs="Times New Roman"/>
                <w:color w:val="000000" w:themeColor="text1"/>
                <w:sz w:val="24"/>
                <w:szCs w:val="24"/>
              </w:rPr>
              <w:t xml:space="preserve">Mutual </w:t>
            </w:r>
            <w:proofErr w:type="spellStart"/>
            <w:r w:rsidRPr="000276E5">
              <w:rPr>
                <w:rFonts w:ascii="Times New Roman" w:hAnsi="Times New Roman" w:cs="Times New Roman"/>
                <w:color w:val="000000" w:themeColor="text1"/>
                <w:sz w:val="24"/>
                <w:szCs w:val="24"/>
              </w:rPr>
              <w:t>dependence</w:t>
            </w:r>
            <w:proofErr w:type="spellEnd"/>
          </w:p>
        </w:tc>
        <w:tc>
          <w:tcPr>
            <w:tcW w:w="884" w:type="dxa"/>
            <w:tcBorders>
              <w:top w:val="nil"/>
              <w:left w:val="nil"/>
              <w:bottom w:val="nil"/>
              <w:right w:val="nil"/>
            </w:tcBorders>
          </w:tcPr>
          <w:p w14:paraId="3DF7558D"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0.05*</w:t>
            </w:r>
          </w:p>
        </w:tc>
        <w:tc>
          <w:tcPr>
            <w:tcW w:w="887" w:type="dxa"/>
            <w:tcBorders>
              <w:top w:val="nil"/>
              <w:left w:val="nil"/>
              <w:bottom w:val="nil"/>
              <w:right w:val="nil"/>
            </w:tcBorders>
          </w:tcPr>
          <w:p w14:paraId="5499DC5C" w14:textId="77777777" w:rsidR="009C4AE1" w:rsidRDefault="009C4AE1" w:rsidP="00BA7963">
            <w:pPr>
              <w:jc w:val="both"/>
            </w:pPr>
            <w:r>
              <w:rPr>
                <w:rFonts w:ascii="Times New Roman" w:hAnsi="Times New Roman" w:cs="Times New Roman"/>
                <w:sz w:val="24"/>
                <w:szCs w:val="24"/>
              </w:rPr>
              <w:t xml:space="preserve"> </w:t>
            </w:r>
            <w:r w:rsidRPr="00FC4309">
              <w:rPr>
                <w:rFonts w:ascii="Times New Roman" w:hAnsi="Times New Roman" w:cs="Times New Roman"/>
                <w:sz w:val="24"/>
                <w:szCs w:val="24"/>
              </w:rPr>
              <w:t>0.0</w:t>
            </w:r>
            <w:r>
              <w:rPr>
                <w:rFonts w:ascii="Times New Roman" w:hAnsi="Times New Roman" w:cs="Times New Roman"/>
                <w:sz w:val="24"/>
                <w:szCs w:val="24"/>
              </w:rPr>
              <w:t>1</w:t>
            </w:r>
          </w:p>
        </w:tc>
        <w:tc>
          <w:tcPr>
            <w:tcW w:w="886" w:type="dxa"/>
            <w:tcBorders>
              <w:top w:val="nil"/>
              <w:left w:val="nil"/>
              <w:bottom w:val="nil"/>
              <w:right w:val="nil"/>
            </w:tcBorders>
          </w:tcPr>
          <w:p w14:paraId="2DA7A2F8"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-0.06*</w:t>
            </w:r>
          </w:p>
        </w:tc>
        <w:tc>
          <w:tcPr>
            <w:tcW w:w="885" w:type="dxa"/>
            <w:tcBorders>
              <w:top w:val="nil"/>
              <w:left w:val="nil"/>
              <w:bottom w:val="nil"/>
              <w:right w:val="nil"/>
            </w:tcBorders>
          </w:tcPr>
          <w:p w14:paraId="1323CD01"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-0.02</w:t>
            </w:r>
          </w:p>
        </w:tc>
        <w:tc>
          <w:tcPr>
            <w:tcW w:w="887" w:type="dxa"/>
            <w:tcBorders>
              <w:top w:val="nil"/>
              <w:left w:val="nil"/>
              <w:bottom w:val="nil"/>
              <w:right w:val="nil"/>
            </w:tcBorders>
          </w:tcPr>
          <w:p w14:paraId="5F7C48B9"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-0.07*</w:t>
            </w:r>
          </w:p>
        </w:tc>
        <w:tc>
          <w:tcPr>
            <w:tcW w:w="886" w:type="dxa"/>
            <w:tcBorders>
              <w:top w:val="nil"/>
              <w:left w:val="nil"/>
              <w:bottom w:val="nil"/>
              <w:right w:val="nil"/>
            </w:tcBorders>
          </w:tcPr>
          <w:p w14:paraId="3DFEC53D"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-0.02</w:t>
            </w:r>
          </w:p>
        </w:tc>
        <w:tc>
          <w:tcPr>
            <w:tcW w:w="887" w:type="dxa"/>
            <w:tcBorders>
              <w:top w:val="nil"/>
              <w:left w:val="nil"/>
              <w:bottom w:val="nil"/>
              <w:right w:val="nil"/>
            </w:tcBorders>
          </w:tcPr>
          <w:p w14:paraId="71E17B71"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-0.10*</w:t>
            </w:r>
          </w:p>
        </w:tc>
        <w:tc>
          <w:tcPr>
            <w:tcW w:w="886" w:type="dxa"/>
            <w:tcBorders>
              <w:top w:val="nil"/>
              <w:left w:val="nil"/>
              <w:bottom w:val="nil"/>
              <w:right w:val="nil"/>
            </w:tcBorders>
          </w:tcPr>
          <w:p w14:paraId="7249866C"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0.13*</w:t>
            </w:r>
          </w:p>
        </w:tc>
        <w:tc>
          <w:tcPr>
            <w:tcW w:w="917" w:type="dxa"/>
            <w:tcBorders>
              <w:top w:val="nil"/>
              <w:left w:val="nil"/>
              <w:bottom w:val="nil"/>
              <w:right w:val="nil"/>
            </w:tcBorders>
          </w:tcPr>
          <w:p w14:paraId="09B6DE7D"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-0.07*</w:t>
            </w:r>
          </w:p>
        </w:tc>
        <w:tc>
          <w:tcPr>
            <w:tcW w:w="850" w:type="dxa"/>
            <w:tcBorders>
              <w:top w:val="nil"/>
              <w:left w:val="nil"/>
              <w:bottom w:val="nil"/>
              <w:right w:val="nil"/>
            </w:tcBorders>
          </w:tcPr>
          <w:p w14:paraId="478221A0" w14:textId="77777777" w:rsidR="009C4AE1" w:rsidRPr="000276E5" w:rsidRDefault="009C4AE1" w:rsidP="00BA7963">
            <w:pPr>
              <w:rPr>
                <w:rFonts w:ascii="Times New Roman" w:hAnsi="Times New Roman" w:cs="Times New Roman"/>
                <w:sz w:val="24"/>
                <w:szCs w:val="24"/>
              </w:rPr>
            </w:pPr>
            <w:r w:rsidRPr="000276E5">
              <w:rPr>
                <w:rFonts w:ascii="Times New Roman" w:hAnsi="Times New Roman" w:cs="Times New Roman"/>
                <w:sz w:val="24"/>
                <w:szCs w:val="24"/>
              </w:rPr>
              <w:t xml:space="preserve"> 0.00</w:t>
            </w:r>
          </w:p>
        </w:tc>
      </w:tr>
      <w:tr w:rsidR="009C4AE1" w:rsidRPr="000276E5" w14:paraId="66BCD55E" w14:textId="77777777" w:rsidTr="00BA7963">
        <w:tc>
          <w:tcPr>
            <w:tcW w:w="456" w:type="dxa"/>
            <w:tcBorders>
              <w:top w:val="nil"/>
              <w:left w:val="nil"/>
              <w:bottom w:val="nil"/>
              <w:right w:val="nil"/>
            </w:tcBorders>
          </w:tcPr>
          <w:p w14:paraId="4381DB84" w14:textId="77777777" w:rsidR="009C4AE1" w:rsidRPr="000276E5" w:rsidRDefault="009C4AE1" w:rsidP="00BA7963">
            <w:pPr>
              <w:spacing w:line="340" w:lineRule="exact"/>
              <w:rPr>
                <w:rFonts w:ascii="Times New Roman" w:hAnsi="Times New Roman" w:cs="Times New Roman"/>
                <w:color w:val="000000" w:themeColor="text1"/>
                <w:sz w:val="24"/>
                <w:szCs w:val="24"/>
              </w:rPr>
            </w:pPr>
          </w:p>
        </w:tc>
        <w:tc>
          <w:tcPr>
            <w:tcW w:w="3977" w:type="dxa"/>
            <w:tcBorders>
              <w:top w:val="nil"/>
              <w:left w:val="nil"/>
              <w:bottom w:val="nil"/>
              <w:right w:val="nil"/>
            </w:tcBorders>
          </w:tcPr>
          <w:p w14:paraId="67CF3E80"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Mean</w:t>
            </w:r>
          </w:p>
        </w:tc>
        <w:tc>
          <w:tcPr>
            <w:tcW w:w="884" w:type="dxa"/>
            <w:tcBorders>
              <w:top w:val="nil"/>
              <w:left w:val="nil"/>
              <w:bottom w:val="nil"/>
              <w:right w:val="nil"/>
            </w:tcBorders>
          </w:tcPr>
          <w:p w14:paraId="149DB5C1" w14:textId="77777777" w:rsidR="009C4AE1" w:rsidRPr="000276E5"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0276E5">
              <w:rPr>
                <w:rFonts w:ascii="Times New Roman" w:hAnsi="Times New Roman" w:cs="Times New Roman"/>
                <w:sz w:val="24"/>
                <w:szCs w:val="24"/>
              </w:rPr>
              <w:t>0.05</w:t>
            </w:r>
          </w:p>
        </w:tc>
        <w:tc>
          <w:tcPr>
            <w:tcW w:w="887" w:type="dxa"/>
            <w:tcBorders>
              <w:top w:val="nil"/>
              <w:left w:val="nil"/>
              <w:bottom w:val="nil"/>
              <w:right w:val="nil"/>
            </w:tcBorders>
          </w:tcPr>
          <w:p w14:paraId="01526D42" w14:textId="77777777" w:rsidR="009C4AE1" w:rsidRPr="000276E5" w:rsidRDefault="009C4AE1" w:rsidP="00BA7963">
            <w:pPr>
              <w:jc w:val="both"/>
              <w:rPr>
                <w:rFonts w:ascii="Times New Roman" w:hAnsi="Times New Roman" w:cs="Times New Roman"/>
                <w:sz w:val="24"/>
                <w:szCs w:val="24"/>
              </w:rPr>
            </w:pPr>
            <w:r>
              <w:rPr>
                <w:rFonts w:ascii="Times New Roman" w:hAnsi="Times New Roman" w:cs="Times New Roman"/>
                <w:sz w:val="24"/>
                <w:szCs w:val="24"/>
              </w:rPr>
              <w:t xml:space="preserve"> 1.87</w:t>
            </w:r>
          </w:p>
        </w:tc>
        <w:tc>
          <w:tcPr>
            <w:tcW w:w="886" w:type="dxa"/>
            <w:tcBorders>
              <w:top w:val="nil"/>
              <w:left w:val="nil"/>
              <w:bottom w:val="nil"/>
              <w:right w:val="nil"/>
            </w:tcBorders>
          </w:tcPr>
          <w:p w14:paraId="52361CAC"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1.81</w:t>
            </w:r>
          </w:p>
        </w:tc>
        <w:tc>
          <w:tcPr>
            <w:tcW w:w="885" w:type="dxa"/>
            <w:tcBorders>
              <w:top w:val="nil"/>
              <w:left w:val="nil"/>
              <w:bottom w:val="nil"/>
              <w:right w:val="nil"/>
            </w:tcBorders>
          </w:tcPr>
          <w:p w14:paraId="00F6C5F6"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1.25</w:t>
            </w:r>
          </w:p>
        </w:tc>
        <w:tc>
          <w:tcPr>
            <w:tcW w:w="887" w:type="dxa"/>
            <w:tcBorders>
              <w:top w:val="nil"/>
              <w:left w:val="nil"/>
              <w:bottom w:val="nil"/>
              <w:right w:val="nil"/>
            </w:tcBorders>
          </w:tcPr>
          <w:p w14:paraId="16151449"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0.88</w:t>
            </w:r>
          </w:p>
        </w:tc>
        <w:tc>
          <w:tcPr>
            <w:tcW w:w="886" w:type="dxa"/>
            <w:tcBorders>
              <w:top w:val="nil"/>
              <w:left w:val="nil"/>
              <w:bottom w:val="nil"/>
              <w:right w:val="nil"/>
            </w:tcBorders>
          </w:tcPr>
          <w:p w14:paraId="41B7E48D"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0.29</w:t>
            </w:r>
          </w:p>
        </w:tc>
        <w:tc>
          <w:tcPr>
            <w:tcW w:w="887" w:type="dxa"/>
            <w:tcBorders>
              <w:top w:val="nil"/>
              <w:left w:val="nil"/>
              <w:bottom w:val="nil"/>
              <w:right w:val="nil"/>
            </w:tcBorders>
          </w:tcPr>
          <w:p w14:paraId="46C7C4C2"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1.94</w:t>
            </w:r>
          </w:p>
        </w:tc>
        <w:tc>
          <w:tcPr>
            <w:tcW w:w="886" w:type="dxa"/>
            <w:tcBorders>
              <w:top w:val="nil"/>
              <w:left w:val="nil"/>
              <w:bottom w:val="nil"/>
              <w:right w:val="nil"/>
            </w:tcBorders>
          </w:tcPr>
          <w:p w14:paraId="78D42C3A"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1.23</w:t>
            </w:r>
          </w:p>
        </w:tc>
        <w:tc>
          <w:tcPr>
            <w:tcW w:w="917" w:type="dxa"/>
            <w:tcBorders>
              <w:top w:val="nil"/>
              <w:left w:val="nil"/>
              <w:bottom w:val="nil"/>
              <w:right w:val="nil"/>
            </w:tcBorders>
          </w:tcPr>
          <w:p w14:paraId="7EB1A088"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0.98</w:t>
            </w:r>
          </w:p>
        </w:tc>
        <w:tc>
          <w:tcPr>
            <w:tcW w:w="850" w:type="dxa"/>
            <w:tcBorders>
              <w:top w:val="nil"/>
              <w:left w:val="nil"/>
              <w:bottom w:val="nil"/>
              <w:right w:val="nil"/>
            </w:tcBorders>
          </w:tcPr>
          <w:p w14:paraId="7F687E29"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0.57</w:t>
            </w:r>
          </w:p>
        </w:tc>
      </w:tr>
      <w:tr w:rsidR="009C4AE1" w:rsidRPr="000276E5" w14:paraId="054C1EEB" w14:textId="77777777" w:rsidTr="00BA7963">
        <w:tc>
          <w:tcPr>
            <w:tcW w:w="456" w:type="dxa"/>
            <w:tcBorders>
              <w:top w:val="nil"/>
              <w:left w:val="nil"/>
              <w:bottom w:val="double" w:sz="4" w:space="0" w:color="auto"/>
              <w:right w:val="nil"/>
            </w:tcBorders>
          </w:tcPr>
          <w:p w14:paraId="75525555" w14:textId="77777777" w:rsidR="009C4AE1" w:rsidRPr="000276E5" w:rsidRDefault="009C4AE1" w:rsidP="00BA7963">
            <w:pPr>
              <w:spacing w:line="340" w:lineRule="exact"/>
              <w:rPr>
                <w:rFonts w:ascii="Times New Roman" w:hAnsi="Times New Roman" w:cs="Times New Roman"/>
                <w:i/>
                <w:color w:val="000000" w:themeColor="text1"/>
                <w:sz w:val="24"/>
                <w:szCs w:val="24"/>
              </w:rPr>
            </w:pPr>
          </w:p>
        </w:tc>
        <w:tc>
          <w:tcPr>
            <w:tcW w:w="3977" w:type="dxa"/>
            <w:tcBorders>
              <w:top w:val="nil"/>
              <w:left w:val="nil"/>
              <w:bottom w:val="double" w:sz="4" w:space="0" w:color="auto"/>
              <w:right w:val="nil"/>
            </w:tcBorders>
          </w:tcPr>
          <w:p w14:paraId="72A08414" w14:textId="77777777" w:rsidR="009C4AE1" w:rsidRPr="000276E5" w:rsidRDefault="009C4AE1" w:rsidP="00BA7963">
            <w:pPr>
              <w:spacing w:line="340" w:lineRule="exact"/>
              <w:rPr>
                <w:rFonts w:ascii="Times New Roman" w:hAnsi="Times New Roman" w:cs="Times New Roman"/>
                <w:color w:val="000000" w:themeColor="text1"/>
                <w:sz w:val="24"/>
                <w:szCs w:val="24"/>
              </w:rPr>
            </w:pPr>
            <w:r w:rsidRPr="000276E5">
              <w:rPr>
                <w:rFonts w:ascii="Times New Roman" w:hAnsi="Times New Roman" w:cs="Times New Roman"/>
                <w:color w:val="000000" w:themeColor="text1"/>
                <w:sz w:val="24"/>
                <w:szCs w:val="24"/>
              </w:rPr>
              <w:t>SD</w:t>
            </w:r>
          </w:p>
        </w:tc>
        <w:tc>
          <w:tcPr>
            <w:tcW w:w="884" w:type="dxa"/>
            <w:tcBorders>
              <w:top w:val="nil"/>
              <w:left w:val="nil"/>
              <w:bottom w:val="double" w:sz="4" w:space="0" w:color="auto"/>
              <w:right w:val="nil"/>
            </w:tcBorders>
          </w:tcPr>
          <w:p w14:paraId="12F7EA2E" w14:textId="77777777" w:rsidR="009C4AE1" w:rsidRPr="000276E5"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0276E5">
              <w:rPr>
                <w:rFonts w:ascii="Times New Roman" w:hAnsi="Times New Roman" w:cs="Times New Roman"/>
                <w:sz w:val="24"/>
                <w:szCs w:val="24"/>
              </w:rPr>
              <w:t>0.09</w:t>
            </w:r>
          </w:p>
        </w:tc>
        <w:tc>
          <w:tcPr>
            <w:tcW w:w="887" w:type="dxa"/>
            <w:tcBorders>
              <w:top w:val="nil"/>
              <w:left w:val="nil"/>
              <w:bottom w:val="double" w:sz="4" w:space="0" w:color="auto"/>
              <w:right w:val="nil"/>
            </w:tcBorders>
          </w:tcPr>
          <w:p w14:paraId="4BDFA460" w14:textId="77777777" w:rsidR="009C4AE1" w:rsidRPr="000276E5" w:rsidRDefault="009C4AE1" w:rsidP="00BA7963">
            <w:pPr>
              <w:jc w:val="both"/>
              <w:rPr>
                <w:rFonts w:ascii="Times New Roman" w:hAnsi="Times New Roman" w:cs="Times New Roman"/>
                <w:sz w:val="24"/>
                <w:szCs w:val="24"/>
              </w:rPr>
            </w:pPr>
            <w:r>
              <w:rPr>
                <w:rFonts w:ascii="Times New Roman" w:hAnsi="Times New Roman" w:cs="Times New Roman"/>
                <w:sz w:val="24"/>
                <w:szCs w:val="24"/>
              </w:rPr>
              <w:t xml:space="preserve"> 1.20</w:t>
            </w:r>
          </w:p>
        </w:tc>
        <w:tc>
          <w:tcPr>
            <w:tcW w:w="886" w:type="dxa"/>
            <w:tcBorders>
              <w:top w:val="nil"/>
              <w:left w:val="nil"/>
              <w:bottom w:val="double" w:sz="4" w:space="0" w:color="auto"/>
              <w:right w:val="nil"/>
            </w:tcBorders>
          </w:tcPr>
          <w:p w14:paraId="5DB1E385"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1.06</w:t>
            </w:r>
          </w:p>
        </w:tc>
        <w:tc>
          <w:tcPr>
            <w:tcW w:w="885" w:type="dxa"/>
            <w:tcBorders>
              <w:top w:val="nil"/>
              <w:left w:val="nil"/>
              <w:bottom w:val="double" w:sz="4" w:space="0" w:color="auto"/>
              <w:right w:val="nil"/>
            </w:tcBorders>
          </w:tcPr>
          <w:p w14:paraId="0C724DB2"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0.70</w:t>
            </w:r>
          </w:p>
        </w:tc>
        <w:tc>
          <w:tcPr>
            <w:tcW w:w="887" w:type="dxa"/>
            <w:tcBorders>
              <w:top w:val="nil"/>
              <w:left w:val="nil"/>
              <w:bottom w:val="double" w:sz="4" w:space="0" w:color="auto"/>
              <w:right w:val="nil"/>
            </w:tcBorders>
          </w:tcPr>
          <w:p w14:paraId="181B5A1E"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1.16</w:t>
            </w:r>
          </w:p>
        </w:tc>
        <w:tc>
          <w:tcPr>
            <w:tcW w:w="886" w:type="dxa"/>
            <w:tcBorders>
              <w:top w:val="nil"/>
              <w:left w:val="nil"/>
              <w:bottom w:val="double" w:sz="4" w:space="0" w:color="auto"/>
              <w:right w:val="nil"/>
            </w:tcBorders>
          </w:tcPr>
          <w:p w14:paraId="6C5CEA11"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0.74</w:t>
            </w:r>
          </w:p>
        </w:tc>
        <w:tc>
          <w:tcPr>
            <w:tcW w:w="887" w:type="dxa"/>
            <w:tcBorders>
              <w:top w:val="nil"/>
              <w:left w:val="nil"/>
              <w:bottom w:val="double" w:sz="4" w:space="0" w:color="auto"/>
              <w:right w:val="nil"/>
            </w:tcBorders>
          </w:tcPr>
          <w:p w14:paraId="438C7EB8"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1.05</w:t>
            </w:r>
          </w:p>
        </w:tc>
        <w:tc>
          <w:tcPr>
            <w:tcW w:w="886" w:type="dxa"/>
            <w:tcBorders>
              <w:top w:val="nil"/>
              <w:left w:val="nil"/>
              <w:bottom w:val="double" w:sz="4" w:space="0" w:color="auto"/>
              <w:right w:val="nil"/>
            </w:tcBorders>
          </w:tcPr>
          <w:p w14:paraId="7FE62C16"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0.64</w:t>
            </w:r>
          </w:p>
        </w:tc>
        <w:tc>
          <w:tcPr>
            <w:tcW w:w="917" w:type="dxa"/>
            <w:tcBorders>
              <w:top w:val="nil"/>
              <w:left w:val="nil"/>
              <w:bottom w:val="double" w:sz="4" w:space="0" w:color="auto"/>
              <w:right w:val="nil"/>
            </w:tcBorders>
          </w:tcPr>
          <w:p w14:paraId="3C3640A1"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1.10</w:t>
            </w:r>
          </w:p>
        </w:tc>
        <w:tc>
          <w:tcPr>
            <w:tcW w:w="850" w:type="dxa"/>
            <w:tcBorders>
              <w:top w:val="nil"/>
              <w:left w:val="nil"/>
              <w:bottom w:val="double" w:sz="4" w:space="0" w:color="auto"/>
              <w:right w:val="nil"/>
            </w:tcBorders>
          </w:tcPr>
          <w:p w14:paraId="085A250D" w14:textId="77777777" w:rsidR="009C4AE1" w:rsidRPr="000276E5" w:rsidRDefault="009C4AE1" w:rsidP="00BA7963">
            <w:pPr>
              <w:jc w:val="center"/>
              <w:rPr>
                <w:rFonts w:ascii="Times New Roman" w:hAnsi="Times New Roman" w:cs="Times New Roman"/>
                <w:sz w:val="24"/>
                <w:szCs w:val="24"/>
              </w:rPr>
            </w:pPr>
            <w:r w:rsidRPr="000276E5">
              <w:rPr>
                <w:rFonts w:ascii="Times New Roman" w:hAnsi="Times New Roman" w:cs="Times New Roman"/>
                <w:sz w:val="24"/>
                <w:szCs w:val="24"/>
              </w:rPr>
              <w:t>0.74</w:t>
            </w:r>
          </w:p>
        </w:tc>
      </w:tr>
    </w:tbl>
    <w:p w14:paraId="544AE3E1" w14:textId="77777777" w:rsidR="009C4AE1" w:rsidRDefault="009C4AE1" w:rsidP="009C4AE1">
      <w:pPr>
        <w:rPr>
          <w:rFonts w:ascii="Times New Roman" w:hAnsi="Times New Roman" w:cs="Times New Roman"/>
          <w:b/>
          <w:sz w:val="24"/>
          <w:szCs w:val="24"/>
          <w:lang w:val="en-GB"/>
        </w:rPr>
      </w:pPr>
      <w:r w:rsidRPr="007123C9">
        <w:rPr>
          <w:rFonts w:ascii="Times New Roman" w:hAnsi="Times New Roman" w:cs="Times New Roman"/>
          <w:lang w:val="en-GB"/>
        </w:rPr>
        <w:br w:type="page"/>
      </w:r>
      <w:r w:rsidRPr="007123C9">
        <w:rPr>
          <w:rFonts w:ascii="Times New Roman" w:hAnsi="Times New Roman" w:cs="Times New Roman"/>
          <w:b/>
          <w:sz w:val="24"/>
          <w:szCs w:val="24"/>
          <w:lang w:val="en-GB"/>
        </w:rPr>
        <w:lastRenderedPageBreak/>
        <w:t xml:space="preserve">Table </w:t>
      </w:r>
      <w:r>
        <w:rPr>
          <w:rFonts w:ascii="Times New Roman" w:hAnsi="Times New Roman" w:cs="Times New Roman"/>
          <w:b/>
          <w:sz w:val="24"/>
          <w:szCs w:val="24"/>
          <w:lang w:val="en-GB"/>
        </w:rPr>
        <w:t>2 (Cont.)</w:t>
      </w:r>
    </w:p>
    <w:p w14:paraId="581505A7" w14:textId="77777777" w:rsidR="009C4AE1" w:rsidRPr="007123C9" w:rsidRDefault="009C4AE1" w:rsidP="009C4AE1">
      <w:pPr>
        <w:rPr>
          <w:rFonts w:ascii="Times New Roman" w:hAnsi="Times New Roman" w:cs="Times New Roman"/>
          <w:sz w:val="24"/>
          <w:szCs w:val="24"/>
          <w:lang w:val="en-GB"/>
        </w:rPr>
      </w:pPr>
      <w:r w:rsidRPr="007123C9">
        <w:rPr>
          <w:rFonts w:ascii="Times New Roman" w:hAnsi="Times New Roman" w:cs="Times New Roman"/>
          <w:sz w:val="24"/>
          <w:szCs w:val="24"/>
          <w:lang w:val="en-GB"/>
        </w:rPr>
        <w:t>Descriptive statistics and correlation matrix</w:t>
      </w:r>
      <w:r>
        <w:rPr>
          <w:rFonts w:ascii="Times New Roman" w:hAnsi="Times New Roman" w:cs="Times New Roman"/>
          <w:sz w:val="24"/>
          <w:szCs w:val="24"/>
          <w:lang w:val="en-GB"/>
        </w:rPr>
        <w:t>.</w:t>
      </w:r>
    </w:p>
    <w:tbl>
      <w:tblPr>
        <w:tblStyle w:val="Tablaconcuadrcula"/>
        <w:tblW w:w="0" w:type="auto"/>
        <w:tblLook w:val="04A0" w:firstRow="1" w:lastRow="0" w:firstColumn="1" w:lastColumn="0" w:noHBand="0" w:noVBand="1"/>
      </w:tblPr>
      <w:tblGrid>
        <w:gridCol w:w="456"/>
        <w:gridCol w:w="4932"/>
        <w:gridCol w:w="899"/>
        <w:gridCol w:w="899"/>
        <w:gridCol w:w="843"/>
        <w:gridCol w:w="842"/>
        <w:gridCol w:w="842"/>
        <w:gridCol w:w="842"/>
        <w:gridCol w:w="842"/>
        <w:gridCol w:w="787"/>
        <w:gridCol w:w="716"/>
      </w:tblGrid>
      <w:tr w:rsidR="009C4AE1" w:rsidRPr="00202B20" w14:paraId="256A672B" w14:textId="77777777" w:rsidTr="00BA7963">
        <w:tc>
          <w:tcPr>
            <w:tcW w:w="456" w:type="dxa"/>
            <w:tcBorders>
              <w:top w:val="double" w:sz="4" w:space="0" w:color="auto"/>
              <w:left w:val="nil"/>
              <w:bottom w:val="nil"/>
              <w:right w:val="nil"/>
            </w:tcBorders>
          </w:tcPr>
          <w:p w14:paraId="3986CC7B"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p>
        </w:tc>
        <w:tc>
          <w:tcPr>
            <w:tcW w:w="4932" w:type="dxa"/>
            <w:tcBorders>
              <w:top w:val="double" w:sz="4" w:space="0" w:color="auto"/>
              <w:left w:val="nil"/>
              <w:bottom w:val="nil"/>
              <w:right w:val="nil"/>
            </w:tcBorders>
          </w:tcPr>
          <w:p w14:paraId="035F6B58"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p>
        </w:tc>
        <w:tc>
          <w:tcPr>
            <w:tcW w:w="899" w:type="dxa"/>
            <w:tcBorders>
              <w:top w:val="double" w:sz="4" w:space="0" w:color="auto"/>
              <w:left w:val="nil"/>
              <w:bottom w:val="nil"/>
              <w:right w:val="nil"/>
            </w:tcBorders>
          </w:tcPr>
          <w:p w14:paraId="7EA5CE94" w14:textId="77777777" w:rsidR="009C4AE1" w:rsidRDefault="009C4AE1" w:rsidP="00BA7963">
            <w:pPr>
              <w:spacing w:line="340" w:lineRule="exact"/>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11</w:t>
            </w:r>
          </w:p>
        </w:tc>
        <w:tc>
          <w:tcPr>
            <w:tcW w:w="899" w:type="dxa"/>
            <w:tcBorders>
              <w:top w:val="double" w:sz="4" w:space="0" w:color="auto"/>
              <w:left w:val="nil"/>
              <w:bottom w:val="nil"/>
              <w:right w:val="nil"/>
            </w:tcBorders>
          </w:tcPr>
          <w:p w14:paraId="39F30C23"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12</w:t>
            </w:r>
          </w:p>
        </w:tc>
        <w:tc>
          <w:tcPr>
            <w:tcW w:w="843" w:type="dxa"/>
            <w:tcBorders>
              <w:top w:val="double" w:sz="4" w:space="0" w:color="auto"/>
              <w:left w:val="nil"/>
              <w:bottom w:val="nil"/>
              <w:right w:val="nil"/>
            </w:tcBorders>
          </w:tcPr>
          <w:p w14:paraId="3C2564AB"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13</w:t>
            </w:r>
          </w:p>
        </w:tc>
        <w:tc>
          <w:tcPr>
            <w:tcW w:w="842" w:type="dxa"/>
            <w:tcBorders>
              <w:top w:val="double" w:sz="4" w:space="0" w:color="auto"/>
              <w:left w:val="nil"/>
              <w:bottom w:val="nil"/>
              <w:right w:val="nil"/>
            </w:tcBorders>
          </w:tcPr>
          <w:p w14:paraId="0193D8AE"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r w:rsidRPr="00202B20">
              <w:rPr>
                <w:rFonts w:ascii="Times New Roman" w:hAnsi="Times New Roman" w:cs="Times New Roman"/>
                <w:color w:val="000000" w:themeColor="text1"/>
                <w:sz w:val="24"/>
                <w:szCs w:val="24"/>
                <w:lang w:val="en-GB"/>
              </w:rPr>
              <w:t>1</w:t>
            </w:r>
            <w:r>
              <w:rPr>
                <w:rFonts w:ascii="Times New Roman" w:hAnsi="Times New Roman" w:cs="Times New Roman"/>
                <w:color w:val="000000" w:themeColor="text1"/>
                <w:sz w:val="24"/>
                <w:szCs w:val="24"/>
                <w:lang w:val="en-GB"/>
              </w:rPr>
              <w:t>4</w:t>
            </w:r>
          </w:p>
        </w:tc>
        <w:tc>
          <w:tcPr>
            <w:tcW w:w="842" w:type="dxa"/>
            <w:tcBorders>
              <w:top w:val="double" w:sz="4" w:space="0" w:color="auto"/>
              <w:left w:val="nil"/>
              <w:bottom w:val="nil"/>
              <w:right w:val="nil"/>
            </w:tcBorders>
          </w:tcPr>
          <w:p w14:paraId="1FEC358C"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r w:rsidRPr="00202B20">
              <w:rPr>
                <w:rFonts w:ascii="Times New Roman" w:hAnsi="Times New Roman" w:cs="Times New Roman"/>
                <w:color w:val="000000" w:themeColor="text1"/>
                <w:sz w:val="24"/>
                <w:szCs w:val="24"/>
                <w:lang w:val="en-GB"/>
              </w:rPr>
              <w:t>1</w:t>
            </w:r>
            <w:r>
              <w:rPr>
                <w:rFonts w:ascii="Times New Roman" w:hAnsi="Times New Roman" w:cs="Times New Roman"/>
                <w:color w:val="000000" w:themeColor="text1"/>
                <w:sz w:val="24"/>
                <w:szCs w:val="24"/>
                <w:lang w:val="en-GB"/>
              </w:rPr>
              <w:t>5</w:t>
            </w:r>
          </w:p>
        </w:tc>
        <w:tc>
          <w:tcPr>
            <w:tcW w:w="842" w:type="dxa"/>
            <w:tcBorders>
              <w:top w:val="double" w:sz="4" w:space="0" w:color="auto"/>
              <w:left w:val="nil"/>
              <w:bottom w:val="nil"/>
              <w:right w:val="nil"/>
            </w:tcBorders>
          </w:tcPr>
          <w:p w14:paraId="43CF0763"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r w:rsidRPr="00202B20">
              <w:rPr>
                <w:rFonts w:ascii="Times New Roman" w:hAnsi="Times New Roman" w:cs="Times New Roman"/>
                <w:color w:val="000000" w:themeColor="text1"/>
                <w:sz w:val="24"/>
                <w:szCs w:val="24"/>
                <w:lang w:val="en-GB"/>
              </w:rPr>
              <w:t>1</w:t>
            </w:r>
            <w:r>
              <w:rPr>
                <w:rFonts w:ascii="Times New Roman" w:hAnsi="Times New Roman" w:cs="Times New Roman"/>
                <w:color w:val="000000" w:themeColor="text1"/>
                <w:sz w:val="24"/>
                <w:szCs w:val="24"/>
                <w:lang w:val="en-GB"/>
              </w:rPr>
              <w:t>6</w:t>
            </w:r>
          </w:p>
        </w:tc>
        <w:tc>
          <w:tcPr>
            <w:tcW w:w="842" w:type="dxa"/>
            <w:tcBorders>
              <w:top w:val="double" w:sz="4" w:space="0" w:color="auto"/>
              <w:left w:val="nil"/>
              <w:bottom w:val="nil"/>
              <w:right w:val="nil"/>
            </w:tcBorders>
          </w:tcPr>
          <w:p w14:paraId="785B49E6"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r w:rsidRPr="00202B20">
              <w:rPr>
                <w:rFonts w:ascii="Times New Roman" w:hAnsi="Times New Roman" w:cs="Times New Roman"/>
                <w:color w:val="000000" w:themeColor="text1"/>
                <w:sz w:val="24"/>
                <w:szCs w:val="24"/>
                <w:lang w:val="en-GB"/>
              </w:rPr>
              <w:t>1</w:t>
            </w:r>
            <w:r>
              <w:rPr>
                <w:rFonts w:ascii="Times New Roman" w:hAnsi="Times New Roman" w:cs="Times New Roman"/>
                <w:color w:val="000000" w:themeColor="text1"/>
                <w:sz w:val="24"/>
                <w:szCs w:val="24"/>
                <w:lang w:val="en-GB"/>
              </w:rPr>
              <w:t>7</w:t>
            </w:r>
          </w:p>
        </w:tc>
        <w:tc>
          <w:tcPr>
            <w:tcW w:w="787" w:type="dxa"/>
            <w:tcBorders>
              <w:top w:val="double" w:sz="4" w:space="0" w:color="auto"/>
              <w:left w:val="nil"/>
              <w:bottom w:val="nil"/>
              <w:right w:val="nil"/>
            </w:tcBorders>
          </w:tcPr>
          <w:p w14:paraId="612EF87C"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r w:rsidRPr="00202B20">
              <w:rPr>
                <w:rFonts w:ascii="Times New Roman" w:hAnsi="Times New Roman" w:cs="Times New Roman"/>
                <w:color w:val="000000" w:themeColor="text1"/>
                <w:sz w:val="24"/>
                <w:szCs w:val="24"/>
                <w:lang w:val="en-GB"/>
              </w:rPr>
              <w:t>1</w:t>
            </w:r>
            <w:r>
              <w:rPr>
                <w:rFonts w:ascii="Times New Roman" w:hAnsi="Times New Roman" w:cs="Times New Roman"/>
                <w:color w:val="000000" w:themeColor="text1"/>
                <w:sz w:val="24"/>
                <w:szCs w:val="24"/>
                <w:lang w:val="en-GB"/>
              </w:rPr>
              <w:t>8</w:t>
            </w:r>
          </w:p>
        </w:tc>
        <w:tc>
          <w:tcPr>
            <w:tcW w:w="716" w:type="dxa"/>
            <w:tcBorders>
              <w:top w:val="double" w:sz="4" w:space="0" w:color="auto"/>
              <w:left w:val="nil"/>
              <w:bottom w:val="nil"/>
              <w:right w:val="nil"/>
            </w:tcBorders>
          </w:tcPr>
          <w:p w14:paraId="61FF97AB" w14:textId="77777777" w:rsidR="009C4AE1" w:rsidRPr="00202B20" w:rsidRDefault="009C4AE1" w:rsidP="00BA7963">
            <w:pPr>
              <w:spacing w:line="340" w:lineRule="exact"/>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19</w:t>
            </w:r>
          </w:p>
        </w:tc>
      </w:tr>
      <w:tr w:rsidR="009C4AE1" w:rsidRPr="00202B20" w14:paraId="5D750259" w14:textId="77777777" w:rsidTr="00BA7963">
        <w:tc>
          <w:tcPr>
            <w:tcW w:w="456" w:type="dxa"/>
            <w:tcBorders>
              <w:top w:val="nil"/>
              <w:left w:val="nil"/>
              <w:bottom w:val="nil"/>
              <w:right w:val="nil"/>
            </w:tcBorders>
          </w:tcPr>
          <w:p w14:paraId="7E04B39C" w14:textId="77777777" w:rsidR="009C4AE1" w:rsidRPr="0071488F" w:rsidRDefault="009C4AE1" w:rsidP="00BA7963">
            <w:pPr>
              <w:spacing w:line="340" w:lineRule="exact"/>
              <w:rPr>
                <w:rFonts w:ascii="Times New Roman" w:hAnsi="Times New Roman" w:cs="Times New Roman"/>
                <w:color w:val="000000" w:themeColor="text1"/>
                <w:sz w:val="24"/>
                <w:szCs w:val="24"/>
              </w:rPr>
            </w:pPr>
            <w:r w:rsidRPr="0071488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p>
        </w:tc>
        <w:tc>
          <w:tcPr>
            <w:tcW w:w="4932" w:type="dxa"/>
            <w:tcBorders>
              <w:top w:val="nil"/>
              <w:left w:val="nil"/>
              <w:bottom w:val="nil"/>
              <w:right w:val="nil"/>
            </w:tcBorders>
          </w:tcPr>
          <w:p w14:paraId="156B6375" w14:textId="77777777" w:rsidR="009C4AE1" w:rsidRPr="0071488F" w:rsidRDefault="009C4AE1" w:rsidP="00BA7963">
            <w:pPr>
              <w:spacing w:line="340" w:lineRule="exact"/>
              <w:rPr>
                <w:rFonts w:ascii="Times New Roman" w:hAnsi="Times New Roman" w:cs="Times New Roman"/>
                <w:color w:val="000000" w:themeColor="text1"/>
                <w:sz w:val="24"/>
                <w:szCs w:val="24"/>
              </w:rPr>
            </w:pPr>
            <w:proofErr w:type="spellStart"/>
            <w:r w:rsidRPr="0071488F">
              <w:rPr>
                <w:rFonts w:ascii="Times New Roman" w:hAnsi="Times New Roman" w:cs="Times New Roman"/>
                <w:color w:val="000000" w:themeColor="text1"/>
                <w:sz w:val="24"/>
                <w:szCs w:val="24"/>
              </w:rPr>
              <w:t>Buyer’s</w:t>
            </w:r>
            <w:proofErr w:type="spellEnd"/>
            <w:r w:rsidRPr="0071488F">
              <w:rPr>
                <w:rFonts w:ascii="Times New Roman" w:hAnsi="Times New Roman" w:cs="Times New Roman"/>
                <w:color w:val="000000" w:themeColor="text1"/>
                <w:sz w:val="24"/>
                <w:szCs w:val="24"/>
              </w:rPr>
              <w:t xml:space="preserve"> </w:t>
            </w:r>
            <w:proofErr w:type="spellStart"/>
            <w:r w:rsidRPr="0071488F">
              <w:rPr>
                <w:rFonts w:ascii="Times New Roman" w:hAnsi="Times New Roman" w:cs="Times New Roman"/>
                <w:color w:val="000000" w:themeColor="text1"/>
                <w:sz w:val="24"/>
                <w:szCs w:val="24"/>
              </w:rPr>
              <w:t>size</w:t>
            </w:r>
            <w:proofErr w:type="spellEnd"/>
          </w:p>
        </w:tc>
        <w:tc>
          <w:tcPr>
            <w:tcW w:w="899" w:type="dxa"/>
            <w:tcBorders>
              <w:top w:val="nil"/>
              <w:left w:val="nil"/>
              <w:bottom w:val="nil"/>
              <w:right w:val="nil"/>
            </w:tcBorders>
          </w:tcPr>
          <w:p w14:paraId="53D335AD"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1.00</w:t>
            </w:r>
          </w:p>
        </w:tc>
        <w:tc>
          <w:tcPr>
            <w:tcW w:w="899" w:type="dxa"/>
            <w:tcBorders>
              <w:top w:val="nil"/>
              <w:left w:val="nil"/>
              <w:bottom w:val="nil"/>
              <w:right w:val="nil"/>
            </w:tcBorders>
          </w:tcPr>
          <w:p w14:paraId="68BF1433" w14:textId="77777777" w:rsidR="009C4AE1" w:rsidRDefault="009C4AE1" w:rsidP="00BA7963">
            <w:pPr>
              <w:rPr>
                <w:rFonts w:ascii="Times New Roman" w:hAnsi="Times New Roman" w:cs="Times New Roman"/>
                <w:sz w:val="24"/>
                <w:szCs w:val="24"/>
              </w:rPr>
            </w:pPr>
          </w:p>
        </w:tc>
        <w:tc>
          <w:tcPr>
            <w:tcW w:w="843" w:type="dxa"/>
            <w:tcBorders>
              <w:top w:val="nil"/>
              <w:left w:val="nil"/>
              <w:bottom w:val="nil"/>
              <w:right w:val="nil"/>
            </w:tcBorders>
          </w:tcPr>
          <w:p w14:paraId="0576C704" w14:textId="77777777" w:rsidR="009C4AE1"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38BD99CE" w14:textId="77777777" w:rsidR="009C4AE1" w:rsidRPr="0046220F"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5CC233E6" w14:textId="77777777" w:rsidR="009C4AE1"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214DE403" w14:textId="77777777" w:rsidR="009C4AE1" w:rsidRPr="0046220F"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4430F851" w14:textId="77777777" w:rsidR="009C4AE1" w:rsidRDefault="009C4AE1" w:rsidP="00BA7963">
            <w:pPr>
              <w:rPr>
                <w:rFonts w:ascii="Times New Roman" w:hAnsi="Times New Roman" w:cs="Times New Roman"/>
                <w:sz w:val="24"/>
                <w:szCs w:val="24"/>
              </w:rPr>
            </w:pPr>
          </w:p>
        </w:tc>
        <w:tc>
          <w:tcPr>
            <w:tcW w:w="787" w:type="dxa"/>
            <w:tcBorders>
              <w:top w:val="nil"/>
              <w:left w:val="nil"/>
              <w:bottom w:val="nil"/>
              <w:right w:val="nil"/>
            </w:tcBorders>
          </w:tcPr>
          <w:p w14:paraId="25B3223B" w14:textId="77777777" w:rsidR="009C4AE1" w:rsidRPr="0046220F" w:rsidRDefault="009C4AE1" w:rsidP="00BA7963">
            <w:pPr>
              <w:rPr>
                <w:rFonts w:ascii="Times New Roman" w:hAnsi="Times New Roman" w:cs="Times New Roman"/>
                <w:sz w:val="24"/>
                <w:szCs w:val="24"/>
              </w:rPr>
            </w:pPr>
          </w:p>
        </w:tc>
        <w:tc>
          <w:tcPr>
            <w:tcW w:w="716" w:type="dxa"/>
            <w:tcBorders>
              <w:top w:val="nil"/>
              <w:left w:val="nil"/>
              <w:bottom w:val="nil"/>
              <w:right w:val="nil"/>
            </w:tcBorders>
          </w:tcPr>
          <w:p w14:paraId="6434ED00" w14:textId="77777777" w:rsidR="009C4AE1" w:rsidRDefault="009C4AE1" w:rsidP="00BA7963">
            <w:pPr>
              <w:rPr>
                <w:rFonts w:ascii="Times New Roman" w:hAnsi="Times New Roman" w:cs="Times New Roman"/>
                <w:sz w:val="24"/>
                <w:szCs w:val="24"/>
              </w:rPr>
            </w:pPr>
          </w:p>
        </w:tc>
      </w:tr>
      <w:tr w:rsidR="009C4AE1" w:rsidRPr="00202B20" w14:paraId="49A07430" w14:textId="77777777" w:rsidTr="00BA7963">
        <w:tc>
          <w:tcPr>
            <w:tcW w:w="456" w:type="dxa"/>
            <w:tcBorders>
              <w:top w:val="nil"/>
              <w:left w:val="nil"/>
              <w:bottom w:val="nil"/>
              <w:right w:val="nil"/>
            </w:tcBorders>
          </w:tcPr>
          <w:p w14:paraId="6CE7F901" w14:textId="77777777" w:rsidR="009C4AE1" w:rsidRPr="0071488F"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932" w:type="dxa"/>
            <w:tcBorders>
              <w:top w:val="nil"/>
              <w:left w:val="nil"/>
              <w:bottom w:val="nil"/>
              <w:right w:val="nil"/>
            </w:tcBorders>
          </w:tcPr>
          <w:p w14:paraId="1A48920D" w14:textId="77777777" w:rsidR="009C4AE1" w:rsidRPr="0071488F" w:rsidRDefault="009C4AE1" w:rsidP="00BA7963">
            <w:pPr>
              <w:spacing w:line="340" w:lineRule="exact"/>
              <w:rPr>
                <w:rFonts w:ascii="Times New Roman" w:hAnsi="Times New Roman" w:cs="Times New Roman"/>
                <w:strike/>
                <w:color w:val="000000" w:themeColor="text1"/>
                <w:sz w:val="24"/>
                <w:szCs w:val="24"/>
              </w:rPr>
            </w:pPr>
            <w:proofErr w:type="spellStart"/>
            <w:r w:rsidRPr="0071488F">
              <w:rPr>
                <w:rFonts w:ascii="Times New Roman" w:hAnsi="Times New Roman" w:cs="Times New Roman"/>
                <w:color w:val="000000" w:themeColor="text1"/>
                <w:sz w:val="24"/>
                <w:szCs w:val="24"/>
              </w:rPr>
              <w:t>Buyer’s</w:t>
            </w:r>
            <w:proofErr w:type="spellEnd"/>
            <w:r w:rsidRPr="0071488F">
              <w:rPr>
                <w:rFonts w:ascii="Times New Roman" w:hAnsi="Times New Roman" w:cs="Times New Roman"/>
                <w:color w:val="000000" w:themeColor="text1"/>
                <w:sz w:val="24"/>
                <w:szCs w:val="24"/>
              </w:rPr>
              <w:t xml:space="preserve"> </w:t>
            </w:r>
            <w:proofErr w:type="spellStart"/>
            <w:r w:rsidRPr="0071488F">
              <w:rPr>
                <w:rFonts w:ascii="Times New Roman" w:hAnsi="Times New Roman" w:cs="Times New Roman"/>
                <w:color w:val="000000" w:themeColor="text1"/>
                <w:sz w:val="24"/>
                <w:szCs w:val="24"/>
              </w:rPr>
              <w:t>leverage</w:t>
            </w:r>
            <w:proofErr w:type="spellEnd"/>
          </w:p>
        </w:tc>
        <w:tc>
          <w:tcPr>
            <w:tcW w:w="899" w:type="dxa"/>
            <w:tcBorders>
              <w:top w:val="nil"/>
              <w:left w:val="nil"/>
              <w:bottom w:val="nil"/>
              <w:right w:val="nil"/>
            </w:tcBorders>
          </w:tcPr>
          <w:p w14:paraId="6D17CBC5"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0.05</w:t>
            </w:r>
            <w:r>
              <w:rPr>
                <w:rFonts w:ascii="Times New Roman" w:hAnsi="Times New Roman" w:cs="Times New Roman"/>
                <w:sz w:val="24"/>
                <w:szCs w:val="24"/>
              </w:rPr>
              <w:t>*</w:t>
            </w:r>
          </w:p>
        </w:tc>
        <w:tc>
          <w:tcPr>
            <w:tcW w:w="899" w:type="dxa"/>
            <w:tcBorders>
              <w:top w:val="nil"/>
              <w:left w:val="nil"/>
              <w:bottom w:val="nil"/>
              <w:right w:val="nil"/>
            </w:tcBorders>
          </w:tcPr>
          <w:p w14:paraId="44F1369B"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1.00</w:t>
            </w:r>
          </w:p>
        </w:tc>
        <w:tc>
          <w:tcPr>
            <w:tcW w:w="843" w:type="dxa"/>
            <w:tcBorders>
              <w:top w:val="nil"/>
              <w:left w:val="nil"/>
              <w:bottom w:val="nil"/>
              <w:right w:val="nil"/>
            </w:tcBorders>
          </w:tcPr>
          <w:p w14:paraId="74C8C3D4" w14:textId="77777777" w:rsidR="009C4AE1"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550D8EF4" w14:textId="77777777" w:rsidR="009C4AE1" w:rsidRPr="0046220F"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0432190F" w14:textId="77777777" w:rsidR="009C4AE1"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10F815F1" w14:textId="77777777" w:rsidR="009C4AE1" w:rsidRPr="0046220F"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186E6897" w14:textId="77777777" w:rsidR="009C4AE1" w:rsidRDefault="009C4AE1" w:rsidP="00BA7963">
            <w:pPr>
              <w:rPr>
                <w:rFonts w:ascii="Times New Roman" w:hAnsi="Times New Roman" w:cs="Times New Roman"/>
                <w:sz w:val="24"/>
                <w:szCs w:val="24"/>
              </w:rPr>
            </w:pPr>
          </w:p>
        </w:tc>
        <w:tc>
          <w:tcPr>
            <w:tcW w:w="787" w:type="dxa"/>
            <w:tcBorders>
              <w:top w:val="nil"/>
              <w:left w:val="nil"/>
              <w:bottom w:val="nil"/>
              <w:right w:val="nil"/>
            </w:tcBorders>
          </w:tcPr>
          <w:p w14:paraId="5EAF1882" w14:textId="77777777" w:rsidR="009C4AE1" w:rsidRPr="0046220F" w:rsidRDefault="009C4AE1" w:rsidP="00BA7963">
            <w:pPr>
              <w:rPr>
                <w:rFonts w:ascii="Times New Roman" w:hAnsi="Times New Roman" w:cs="Times New Roman"/>
                <w:sz w:val="24"/>
                <w:szCs w:val="24"/>
              </w:rPr>
            </w:pPr>
          </w:p>
        </w:tc>
        <w:tc>
          <w:tcPr>
            <w:tcW w:w="716" w:type="dxa"/>
            <w:tcBorders>
              <w:top w:val="nil"/>
              <w:left w:val="nil"/>
              <w:bottom w:val="nil"/>
              <w:right w:val="nil"/>
            </w:tcBorders>
          </w:tcPr>
          <w:p w14:paraId="7E4C2125" w14:textId="77777777" w:rsidR="009C4AE1" w:rsidRDefault="009C4AE1" w:rsidP="00BA7963">
            <w:pPr>
              <w:rPr>
                <w:rFonts w:ascii="Times New Roman" w:hAnsi="Times New Roman" w:cs="Times New Roman"/>
                <w:sz w:val="24"/>
                <w:szCs w:val="24"/>
              </w:rPr>
            </w:pPr>
          </w:p>
        </w:tc>
      </w:tr>
      <w:tr w:rsidR="009C4AE1" w:rsidRPr="00202B20" w14:paraId="72244659" w14:textId="77777777" w:rsidTr="00BA7963">
        <w:tc>
          <w:tcPr>
            <w:tcW w:w="456" w:type="dxa"/>
            <w:tcBorders>
              <w:top w:val="nil"/>
              <w:left w:val="nil"/>
              <w:bottom w:val="nil"/>
              <w:right w:val="nil"/>
            </w:tcBorders>
          </w:tcPr>
          <w:p w14:paraId="2B963712" w14:textId="77777777" w:rsidR="009C4AE1" w:rsidRPr="0071488F"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932" w:type="dxa"/>
            <w:tcBorders>
              <w:top w:val="nil"/>
              <w:left w:val="nil"/>
              <w:bottom w:val="nil"/>
              <w:right w:val="nil"/>
            </w:tcBorders>
          </w:tcPr>
          <w:p w14:paraId="3CCB7B04" w14:textId="77777777" w:rsidR="009C4AE1" w:rsidRPr="0071488F" w:rsidRDefault="009C4AE1" w:rsidP="00BA7963">
            <w:pPr>
              <w:spacing w:line="340" w:lineRule="exact"/>
              <w:rPr>
                <w:rFonts w:ascii="Times New Roman" w:hAnsi="Times New Roman" w:cs="Times New Roman"/>
                <w:color w:val="000000" w:themeColor="text1"/>
                <w:sz w:val="24"/>
                <w:szCs w:val="24"/>
              </w:rPr>
            </w:pPr>
            <w:proofErr w:type="spellStart"/>
            <w:r w:rsidRPr="0071488F">
              <w:rPr>
                <w:rFonts w:ascii="Times New Roman" w:hAnsi="Times New Roman" w:cs="Times New Roman"/>
                <w:color w:val="000000" w:themeColor="text1"/>
                <w:sz w:val="24"/>
                <w:szCs w:val="24"/>
              </w:rPr>
              <w:t>Buyer’s</w:t>
            </w:r>
            <w:proofErr w:type="spellEnd"/>
            <w:r w:rsidRPr="0071488F">
              <w:rPr>
                <w:rFonts w:ascii="Times New Roman" w:hAnsi="Times New Roman" w:cs="Times New Roman"/>
                <w:color w:val="000000" w:themeColor="text1"/>
                <w:sz w:val="24"/>
                <w:szCs w:val="24"/>
              </w:rPr>
              <w:t xml:space="preserve"> </w:t>
            </w:r>
            <w:proofErr w:type="spellStart"/>
            <w:r w:rsidRPr="0071488F">
              <w:rPr>
                <w:rFonts w:ascii="Times New Roman" w:hAnsi="Times New Roman" w:cs="Times New Roman"/>
                <w:color w:val="000000" w:themeColor="text1"/>
                <w:sz w:val="24"/>
                <w:szCs w:val="24"/>
              </w:rPr>
              <w:t>market</w:t>
            </w:r>
            <w:proofErr w:type="spellEnd"/>
            <w:r w:rsidRPr="0071488F">
              <w:rPr>
                <w:rFonts w:ascii="Times New Roman" w:hAnsi="Times New Roman" w:cs="Times New Roman"/>
                <w:color w:val="000000" w:themeColor="text1"/>
                <w:sz w:val="24"/>
                <w:szCs w:val="24"/>
              </w:rPr>
              <w:t xml:space="preserve"> share</w:t>
            </w:r>
          </w:p>
        </w:tc>
        <w:tc>
          <w:tcPr>
            <w:tcW w:w="899" w:type="dxa"/>
            <w:tcBorders>
              <w:top w:val="nil"/>
              <w:left w:val="nil"/>
              <w:bottom w:val="nil"/>
              <w:right w:val="nil"/>
            </w:tcBorders>
          </w:tcPr>
          <w:p w14:paraId="653B1B3F"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0.23</w:t>
            </w:r>
            <w:r>
              <w:rPr>
                <w:rFonts w:ascii="Times New Roman" w:hAnsi="Times New Roman" w:cs="Times New Roman"/>
                <w:sz w:val="24"/>
                <w:szCs w:val="24"/>
              </w:rPr>
              <w:t>*</w:t>
            </w:r>
          </w:p>
        </w:tc>
        <w:tc>
          <w:tcPr>
            <w:tcW w:w="899" w:type="dxa"/>
            <w:tcBorders>
              <w:top w:val="nil"/>
              <w:left w:val="nil"/>
              <w:bottom w:val="nil"/>
              <w:right w:val="nil"/>
            </w:tcBorders>
          </w:tcPr>
          <w:p w14:paraId="27913514"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0.09</w:t>
            </w:r>
            <w:r>
              <w:rPr>
                <w:rFonts w:ascii="Times New Roman" w:hAnsi="Times New Roman" w:cs="Times New Roman"/>
                <w:sz w:val="24"/>
                <w:szCs w:val="24"/>
              </w:rPr>
              <w:t>*</w:t>
            </w:r>
          </w:p>
        </w:tc>
        <w:tc>
          <w:tcPr>
            <w:tcW w:w="843" w:type="dxa"/>
            <w:tcBorders>
              <w:top w:val="nil"/>
              <w:left w:val="nil"/>
              <w:bottom w:val="nil"/>
              <w:right w:val="nil"/>
            </w:tcBorders>
          </w:tcPr>
          <w:p w14:paraId="08ADF70B"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1.00</w:t>
            </w:r>
          </w:p>
        </w:tc>
        <w:tc>
          <w:tcPr>
            <w:tcW w:w="842" w:type="dxa"/>
            <w:tcBorders>
              <w:top w:val="nil"/>
              <w:left w:val="nil"/>
              <w:bottom w:val="nil"/>
              <w:right w:val="nil"/>
            </w:tcBorders>
          </w:tcPr>
          <w:p w14:paraId="14EB0C02" w14:textId="77777777" w:rsidR="009C4AE1" w:rsidRPr="0046220F"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1838663F" w14:textId="77777777" w:rsidR="009C4AE1"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46B7373C" w14:textId="77777777" w:rsidR="009C4AE1" w:rsidRPr="0046220F"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7DCEC30C" w14:textId="77777777" w:rsidR="009C4AE1" w:rsidRDefault="009C4AE1" w:rsidP="00BA7963">
            <w:pPr>
              <w:rPr>
                <w:rFonts w:ascii="Times New Roman" w:hAnsi="Times New Roman" w:cs="Times New Roman"/>
                <w:sz w:val="24"/>
                <w:szCs w:val="24"/>
              </w:rPr>
            </w:pPr>
          </w:p>
        </w:tc>
        <w:tc>
          <w:tcPr>
            <w:tcW w:w="787" w:type="dxa"/>
            <w:tcBorders>
              <w:top w:val="nil"/>
              <w:left w:val="nil"/>
              <w:bottom w:val="nil"/>
              <w:right w:val="nil"/>
            </w:tcBorders>
          </w:tcPr>
          <w:p w14:paraId="001DA3CA" w14:textId="77777777" w:rsidR="009C4AE1" w:rsidRPr="0046220F" w:rsidRDefault="009C4AE1" w:rsidP="00BA7963">
            <w:pPr>
              <w:rPr>
                <w:rFonts w:ascii="Times New Roman" w:hAnsi="Times New Roman" w:cs="Times New Roman"/>
                <w:sz w:val="24"/>
                <w:szCs w:val="24"/>
              </w:rPr>
            </w:pPr>
          </w:p>
        </w:tc>
        <w:tc>
          <w:tcPr>
            <w:tcW w:w="716" w:type="dxa"/>
            <w:tcBorders>
              <w:top w:val="nil"/>
              <w:left w:val="nil"/>
              <w:bottom w:val="nil"/>
              <w:right w:val="nil"/>
            </w:tcBorders>
          </w:tcPr>
          <w:p w14:paraId="0C213CC0" w14:textId="77777777" w:rsidR="009C4AE1" w:rsidRDefault="009C4AE1" w:rsidP="00BA7963">
            <w:pPr>
              <w:rPr>
                <w:rFonts w:ascii="Times New Roman" w:hAnsi="Times New Roman" w:cs="Times New Roman"/>
                <w:sz w:val="24"/>
                <w:szCs w:val="24"/>
              </w:rPr>
            </w:pPr>
          </w:p>
        </w:tc>
      </w:tr>
      <w:tr w:rsidR="009C4AE1" w:rsidRPr="00202B20" w14:paraId="6BC8017C" w14:textId="77777777" w:rsidTr="00BA7963">
        <w:tc>
          <w:tcPr>
            <w:tcW w:w="456" w:type="dxa"/>
            <w:tcBorders>
              <w:top w:val="nil"/>
              <w:left w:val="nil"/>
              <w:bottom w:val="nil"/>
              <w:right w:val="nil"/>
            </w:tcBorders>
          </w:tcPr>
          <w:p w14:paraId="74ABC02D" w14:textId="77777777" w:rsidR="009C4AE1" w:rsidRPr="0071488F"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932" w:type="dxa"/>
            <w:tcBorders>
              <w:top w:val="nil"/>
              <w:left w:val="nil"/>
              <w:bottom w:val="nil"/>
              <w:right w:val="nil"/>
            </w:tcBorders>
          </w:tcPr>
          <w:p w14:paraId="7BF87900" w14:textId="77777777" w:rsidR="009C4AE1" w:rsidRPr="0071488F" w:rsidRDefault="009C4AE1" w:rsidP="00BA7963">
            <w:pPr>
              <w:spacing w:line="340" w:lineRule="exact"/>
              <w:rPr>
                <w:rFonts w:ascii="Times New Roman" w:hAnsi="Times New Roman" w:cs="Times New Roman"/>
                <w:strike/>
                <w:color w:val="000000" w:themeColor="text1"/>
                <w:sz w:val="24"/>
                <w:szCs w:val="24"/>
              </w:rPr>
            </w:pPr>
            <w:proofErr w:type="spellStart"/>
            <w:r w:rsidRPr="0071488F">
              <w:rPr>
                <w:rFonts w:ascii="Times New Roman" w:hAnsi="Times New Roman" w:cs="Times New Roman"/>
                <w:color w:val="000000" w:themeColor="text1"/>
                <w:sz w:val="24"/>
                <w:szCs w:val="24"/>
              </w:rPr>
              <w:t>Buyer’s</w:t>
            </w:r>
            <w:proofErr w:type="spellEnd"/>
            <w:r w:rsidRPr="0071488F">
              <w:rPr>
                <w:rFonts w:ascii="Times New Roman" w:hAnsi="Times New Roman" w:cs="Times New Roman"/>
                <w:color w:val="000000" w:themeColor="text1"/>
                <w:sz w:val="24"/>
                <w:szCs w:val="24"/>
              </w:rPr>
              <w:t xml:space="preserve"> </w:t>
            </w:r>
            <w:proofErr w:type="spellStart"/>
            <w:r w:rsidRPr="0071488F">
              <w:rPr>
                <w:rFonts w:ascii="Times New Roman" w:hAnsi="Times New Roman" w:cs="Times New Roman"/>
                <w:color w:val="000000" w:themeColor="text1"/>
                <w:sz w:val="24"/>
                <w:szCs w:val="24"/>
              </w:rPr>
              <w:t>business</w:t>
            </w:r>
            <w:proofErr w:type="spellEnd"/>
            <w:r w:rsidRPr="0071488F">
              <w:rPr>
                <w:rFonts w:ascii="Times New Roman" w:hAnsi="Times New Roman" w:cs="Times New Roman"/>
                <w:color w:val="000000" w:themeColor="text1"/>
                <w:sz w:val="24"/>
                <w:szCs w:val="24"/>
              </w:rPr>
              <w:t xml:space="preserve"> </w:t>
            </w:r>
            <w:proofErr w:type="spellStart"/>
            <w:r w:rsidRPr="0071488F">
              <w:rPr>
                <w:rFonts w:ascii="Times New Roman" w:hAnsi="Times New Roman" w:cs="Times New Roman"/>
                <w:color w:val="000000" w:themeColor="text1"/>
                <w:sz w:val="24"/>
                <w:szCs w:val="24"/>
              </w:rPr>
              <w:t>segment</w:t>
            </w:r>
            <w:proofErr w:type="spellEnd"/>
          </w:p>
        </w:tc>
        <w:tc>
          <w:tcPr>
            <w:tcW w:w="899" w:type="dxa"/>
            <w:tcBorders>
              <w:top w:val="nil"/>
              <w:left w:val="nil"/>
              <w:bottom w:val="nil"/>
              <w:right w:val="nil"/>
            </w:tcBorders>
          </w:tcPr>
          <w:p w14:paraId="0647028B"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0.41</w:t>
            </w:r>
            <w:r>
              <w:rPr>
                <w:rFonts w:ascii="Times New Roman" w:hAnsi="Times New Roman" w:cs="Times New Roman"/>
                <w:sz w:val="24"/>
                <w:szCs w:val="24"/>
              </w:rPr>
              <w:t>*</w:t>
            </w:r>
          </w:p>
        </w:tc>
        <w:tc>
          <w:tcPr>
            <w:tcW w:w="899" w:type="dxa"/>
            <w:tcBorders>
              <w:top w:val="nil"/>
              <w:left w:val="nil"/>
              <w:bottom w:val="nil"/>
              <w:right w:val="nil"/>
            </w:tcBorders>
          </w:tcPr>
          <w:p w14:paraId="6D39469D"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0.04</w:t>
            </w:r>
          </w:p>
        </w:tc>
        <w:tc>
          <w:tcPr>
            <w:tcW w:w="843" w:type="dxa"/>
            <w:tcBorders>
              <w:top w:val="nil"/>
              <w:left w:val="nil"/>
              <w:bottom w:val="nil"/>
              <w:right w:val="nil"/>
            </w:tcBorders>
          </w:tcPr>
          <w:p w14:paraId="4956F71C"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0.28</w:t>
            </w:r>
            <w:r>
              <w:rPr>
                <w:rFonts w:ascii="Times New Roman" w:hAnsi="Times New Roman" w:cs="Times New Roman"/>
                <w:sz w:val="24"/>
                <w:szCs w:val="24"/>
              </w:rPr>
              <w:t>*</w:t>
            </w:r>
          </w:p>
        </w:tc>
        <w:tc>
          <w:tcPr>
            <w:tcW w:w="842" w:type="dxa"/>
            <w:tcBorders>
              <w:top w:val="nil"/>
              <w:left w:val="nil"/>
              <w:bottom w:val="nil"/>
              <w:right w:val="nil"/>
            </w:tcBorders>
          </w:tcPr>
          <w:p w14:paraId="2852D39A" w14:textId="77777777" w:rsidR="009C4AE1" w:rsidRPr="0046220F"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8E2E96">
              <w:rPr>
                <w:rFonts w:ascii="Times New Roman" w:hAnsi="Times New Roman" w:cs="Times New Roman"/>
                <w:sz w:val="24"/>
                <w:szCs w:val="24"/>
              </w:rPr>
              <w:t>1.00</w:t>
            </w:r>
          </w:p>
        </w:tc>
        <w:tc>
          <w:tcPr>
            <w:tcW w:w="842" w:type="dxa"/>
            <w:tcBorders>
              <w:top w:val="nil"/>
              <w:left w:val="nil"/>
              <w:bottom w:val="nil"/>
              <w:right w:val="nil"/>
            </w:tcBorders>
          </w:tcPr>
          <w:p w14:paraId="0C8C7A0A" w14:textId="77777777" w:rsidR="009C4AE1"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043282DD" w14:textId="77777777" w:rsidR="009C4AE1" w:rsidRPr="0046220F"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20D318BA" w14:textId="77777777" w:rsidR="009C4AE1" w:rsidRDefault="009C4AE1" w:rsidP="00BA7963">
            <w:pPr>
              <w:rPr>
                <w:rFonts w:ascii="Times New Roman" w:hAnsi="Times New Roman" w:cs="Times New Roman"/>
                <w:sz w:val="24"/>
                <w:szCs w:val="24"/>
              </w:rPr>
            </w:pPr>
          </w:p>
        </w:tc>
        <w:tc>
          <w:tcPr>
            <w:tcW w:w="787" w:type="dxa"/>
            <w:tcBorders>
              <w:top w:val="nil"/>
              <w:left w:val="nil"/>
              <w:bottom w:val="nil"/>
              <w:right w:val="nil"/>
            </w:tcBorders>
          </w:tcPr>
          <w:p w14:paraId="5D685323" w14:textId="77777777" w:rsidR="009C4AE1" w:rsidRPr="0046220F" w:rsidRDefault="009C4AE1" w:rsidP="00BA7963">
            <w:pPr>
              <w:rPr>
                <w:rFonts w:ascii="Times New Roman" w:hAnsi="Times New Roman" w:cs="Times New Roman"/>
                <w:sz w:val="24"/>
                <w:szCs w:val="24"/>
              </w:rPr>
            </w:pPr>
          </w:p>
        </w:tc>
        <w:tc>
          <w:tcPr>
            <w:tcW w:w="716" w:type="dxa"/>
            <w:tcBorders>
              <w:top w:val="nil"/>
              <w:left w:val="nil"/>
              <w:bottom w:val="nil"/>
              <w:right w:val="nil"/>
            </w:tcBorders>
          </w:tcPr>
          <w:p w14:paraId="064A4F11" w14:textId="77777777" w:rsidR="009C4AE1" w:rsidRDefault="009C4AE1" w:rsidP="00BA7963">
            <w:pPr>
              <w:rPr>
                <w:rFonts w:ascii="Times New Roman" w:hAnsi="Times New Roman" w:cs="Times New Roman"/>
                <w:sz w:val="24"/>
                <w:szCs w:val="24"/>
              </w:rPr>
            </w:pPr>
          </w:p>
        </w:tc>
      </w:tr>
      <w:tr w:rsidR="009C4AE1" w:rsidRPr="00202B20" w14:paraId="750A9F25" w14:textId="77777777" w:rsidTr="00BA7963">
        <w:tc>
          <w:tcPr>
            <w:tcW w:w="456" w:type="dxa"/>
            <w:tcBorders>
              <w:top w:val="nil"/>
              <w:left w:val="nil"/>
              <w:bottom w:val="nil"/>
              <w:right w:val="nil"/>
            </w:tcBorders>
          </w:tcPr>
          <w:p w14:paraId="72EDE8BB" w14:textId="77777777" w:rsidR="009C4AE1"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4932" w:type="dxa"/>
            <w:tcBorders>
              <w:top w:val="nil"/>
              <w:left w:val="nil"/>
              <w:bottom w:val="nil"/>
              <w:right w:val="nil"/>
            </w:tcBorders>
          </w:tcPr>
          <w:p w14:paraId="2C064359" w14:textId="77777777" w:rsidR="009C4AE1" w:rsidRPr="0071488F" w:rsidRDefault="009C4AE1" w:rsidP="00BA7963">
            <w:pPr>
              <w:spacing w:line="34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Buyer’s</w:t>
            </w:r>
            <w:proofErr w:type="spellEnd"/>
            <w:r>
              <w:rPr>
                <w:rFonts w:ascii="Times New Roman" w:hAnsi="Times New Roman" w:cs="Times New Roman"/>
                <w:color w:val="000000" w:themeColor="text1"/>
                <w:sz w:val="24"/>
                <w:szCs w:val="24"/>
              </w:rPr>
              <w:t xml:space="preserve"> R&amp;D </w:t>
            </w:r>
            <w:proofErr w:type="spellStart"/>
            <w:r>
              <w:rPr>
                <w:rFonts w:ascii="Times New Roman" w:hAnsi="Times New Roman" w:cs="Times New Roman"/>
                <w:color w:val="000000" w:themeColor="text1"/>
                <w:sz w:val="24"/>
                <w:szCs w:val="24"/>
              </w:rPr>
              <w:t>intensity</w:t>
            </w:r>
            <w:proofErr w:type="spellEnd"/>
          </w:p>
        </w:tc>
        <w:tc>
          <w:tcPr>
            <w:tcW w:w="899" w:type="dxa"/>
            <w:tcBorders>
              <w:top w:val="nil"/>
              <w:left w:val="nil"/>
              <w:bottom w:val="nil"/>
              <w:right w:val="nil"/>
            </w:tcBorders>
          </w:tcPr>
          <w:p w14:paraId="07527917"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0.23</w:t>
            </w:r>
            <w:r>
              <w:rPr>
                <w:rFonts w:ascii="Times New Roman" w:hAnsi="Times New Roman" w:cs="Times New Roman"/>
                <w:sz w:val="24"/>
                <w:szCs w:val="24"/>
              </w:rPr>
              <w:t>*</w:t>
            </w:r>
          </w:p>
        </w:tc>
        <w:tc>
          <w:tcPr>
            <w:tcW w:w="899" w:type="dxa"/>
            <w:tcBorders>
              <w:top w:val="nil"/>
              <w:left w:val="nil"/>
              <w:bottom w:val="nil"/>
              <w:right w:val="nil"/>
            </w:tcBorders>
          </w:tcPr>
          <w:p w14:paraId="01FC0CF9"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0.05</w:t>
            </w:r>
            <w:r>
              <w:rPr>
                <w:rFonts w:ascii="Times New Roman" w:hAnsi="Times New Roman" w:cs="Times New Roman"/>
                <w:sz w:val="24"/>
                <w:szCs w:val="24"/>
              </w:rPr>
              <w:t>*</w:t>
            </w:r>
          </w:p>
        </w:tc>
        <w:tc>
          <w:tcPr>
            <w:tcW w:w="843" w:type="dxa"/>
            <w:tcBorders>
              <w:top w:val="nil"/>
              <w:left w:val="nil"/>
              <w:bottom w:val="nil"/>
              <w:right w:val="nil"/>
            </w:tcBorders>
          </w:tcPr>
          <w:p w14:paraId="3D8A66FA"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0.13</w:t>
            </w:r>
            <w:r>
              <w:rPr>
                <w:rFonts w:ascii="Times New Roman" w:hAnsi="Times New Roman" w:cs="Times New Roman"/>
                <w:sz w:val="24"/>
                <w:szCs w:val="24"/>
              </w:rPr>
              <w:t>*</w:t>
            </w:r>
          </w:p>
        </w:tc>
        <w:tc>
          <w:tcPr>
            <w:tcW w:w="842" w:type="dxa"/>
            <w:tcBorders>
              <w:top w:val="nil"/>
              <w:left w:val="nil"/>
              <w:bottom w:val="nil"/>
              <w:right w:val="nil"/>
            </w:tcBorders>
          </w:tcPr>
          <w:p w14:paraId="019D5959" w14:textId="77777777" w:rsidR="009C4AE1" w:rsidRPr="0046220F"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8E2E96">
              <w:rPr>
                <w:rFonts w:ascii="Times New Roman" w:hAnsi="Times New Roman" w:cs="Times New Roman"/>
                <w:sz w:val="24"/>
                <w:szCs w:val="24"/>
              </w:rPr>
              <w:t>0.13</w:t>
            </w:r>
            <w:r>
              <w:rPr>
                <w:rFonts w:ascii="Times New Roman" w:hAnsi="Times New Roman" w:cs="Times New Roman"/>
                <w:sz w:val="24"/>
                <w:szCs w:val="24"/>
              </w:rPr>
              <w:t>*</w:t>
            </w:r>
          </w:p>
        </w:tc>
        <w:tc>
          <w:tcPr>
            <w:tcW w:w="842" w:type="dxa"/>
            <w:tcBorders>
              <w:top w:val="nil"/>
              <w:left w:val="nil"/>
              <w:bottom w:val="nil"/>
              <w:right w:val="nil"/>
            </w:tcBorders>
          </w:tcPr>
          <w:p w14:paraId="0C794B41"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1.00</w:t>
            </w:r>
          </w:p>
        </w:tc>
        <w:tc>
          <w:tcPr>
            <w:tcW w:w="842" w:type="dxa"/>
            <w:tcBorders>
              <w:top w:val="nil"/>
              <w:left w:val="nil"/>
              <w:bottom w:val="nil"/>
              <w:right w:val="nil"/>
            </w:tcBorders>
          </w:tcPr>
          <w:p w14:paraId="2448BEA1" w14:textId="77777777" w:rsidR="009C4AE1" w:rsidRPr="0046220F" w:rsidRDefault="009C4AE1" w:rsidP="00BA7963">
            <w:pPr>
              <w:rPr>
                <w:rFonts w:ascii="Times New Roman" w:hAnsi="Times New Roman" w:cs="Times New Roman"/>
                <w:sz w:val="24"/>
                <w:szCs w:val="24"/>
              </w:rPr>
            </w:pPr>
          </w:p>
        </w:tc>
        <w:tc>
          <w:tcPr>
            <w:tcW w:w="842" w:type="dxa"/>
            <w:tcBorders>
              <w:top w:val="nil"/>
              <w:left w:val="nil"/>
              <w:bottom w:val="nil"/>
              <w:right w:val="nil"/>
            </w:tcBorders>
          </w:tcPr>
          <w:p w14:paraId="15C5E671" w14:textId="77777777" w:rsidR="009C4AE1" w:rsidRDefault="009C4AE1" w:rsidP="00BA7963">
            <w:pPr>
              <w:rPr>
                <w:rFonts w:ascii="Times New Roman" w:hAnsi="Times New Roman" w:cs="Times New Roman"/>
                <w:sz w:val="24"/>
                <w:szCs w:val="24"/>
              </w:rPr>
            </w:pPr>
          </w:p>
        </w:tc>
        <w:tc>
          <w:tcPr>
            <w:tcW w:w="787" w:type="dxa"/>
            <w:tcBorders>
              <w:top w:val="nil"/>
              <w:left w:val="nil"/>
              <w:bottom w:val="nil"/>
              <w:right w:val="nil"/>
            </w:tcBorders>
          </w:tcPr>
          <w:p w14:paraId="642644DE" w14:textId="77777777" w:rsidR="009C4AE1" w:rsidRPr="0046220F" w:rsidRDefault="009C4AE1" w:rsidP="00BA7963">
            <w:pPr>
              <w:rPr>
                <w:rFonts w:ascii="Times New Roman" w:hAnsi="Times New Roman" w:cs="Times New Roman"/>
                <w:sz w:val="24"/>
                <w:szCs w:val="24"/>
              </w:rPr>
            </w:pPr>
          </w:p>
        </w:tc>
        <w:tc>
          <w:tcPr>
            <w:tcW w:w="716" w:type="dxa"/>
            <w:tcBorders>
              <w:top w:val="nil"/>
              <w:left w:val="nil"/>
              <w:bottom w:val="nil"/>
              <w:right w:val="nil"/>
            </w:tcBorders>
          </w:tcPr>
          <w:p w14:paraId="2B2CE99B" w14:textId="77777777" w:rsidR="009C4AE1" w:rsidRDefault="009C4AE1" w:rsidP="00BA7963">
            <w:pPr>
              <w:rPr>
                <w:rFonts w:ascii="Times New Roman" w:hAnsi="Times New Roman" w:cs="Times New Roman"/>
                <w:sz w:val="24"/>
                <w:szCs w:val="24"/>
              </w:rPr>
            </w:pPr>
          </w:p>
        </w:tc>
      </w:tr>
      <w:tr w:rsidR="009C4AE1" w:rsidRPr="00202B20" w14:paraId="76088057" w14:textId="77777777" w:rsidTr="00BA7963">
        <w:tc>
          <w:tcPr>
            <w:tcW w:w="456" w:type="dxa"/>
            <w:tcBorders>
              <w:top w:val="nil"/>
              <w:left w:val="nil"/>
              <w:bottom w:val="nil"/>
              <w:right w:val="nil"/>
            </w:tcBorders>
          </w:tcPr>
          <w:p w14:paraId="3388455B" w14:textId="77777777" w:rsidR="009C4AE1"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4932" w:type="dxa"/>
            <w:tcBorders>
              <w:top w:val="nil"/>
              <w:left w:val="nil"/>
              <w:bottom w:val="nil"/>
              <w:right w:val="nil"/>
            </w:tcBorders>
          </w:tcPr>
          <w:p w14:paraId="0DD971BA" w14:textId="77777777" w:rsidR="009C4AE1" w:rsidRPr="0071488F"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sz w:val="24"/>
                <w:szCs w:val="24"/>
                <w:lang w:val="en-US"/>
              </w:rPr>
              <w:t>Buyer’s relative ESG performance</w:t>
            </w:r>
          </w:p>
        </w:tc>
        <w:tc>
          <w:tcPr>
            <w:tcW w:w="899" w:type="dxa"/>
            <w:tcBorders>
              <w:top w:val="nil"/>
              <w:left w:val="nil"/>
              <w:bottom w:val="nil"/>
              <w:right w:val="nil"/>
            </w:tcBorders>
          </w:tcPr>
          <w:p w14:paraId="69ECB2DA"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w:t>
            </w:r>
            <w:r>
              <w:rPr>
                <w:rFonts w:ascii="Times New Roman" w:hAnsi="Times New Roman" w:cs="Times New Roman"/>
                <w:sz w:val="24"/>
                <w:szCs w:val="24"/>
              </w:rPr>
              <w:t>5</w:t>
            </w:r>
            <w:r w:rsidRPr="008E2E96">
              <w:rPr>
                <w:rFonts w:ascii="Times New Roman" w:hAnsi="Times New Roman" w:cs="Times New Roman"/>
                <w:sz w:val="24"/>
                <w:szCs w:val="24"/>
              </w:rPr>
              <w:t>0</w:t>
            </w:r>
            <w:r>
              <w:rPr>
                <w:rFonts w:ascii="Times New Roman" w:hAnsi="Times New Roman" w:cs="Times New Roman"/>
                <w:sz w:val="24"/>
                <w:szCs w:val="24"/>
              </w:rPr>
              <w:t>*</w:t>
            </w:r>
          </w:p>
        </w:tc>
        <w:tc>
          <w:tcPr>
            <w:tcW w:w="899" w:type="dxa"/>
            <w:tcBorders>
              <w:top w:val="nil"/>
              <w:left w:val="nil"/>
              <w:bottom w:val="nil"/>
              <w:right w:val="nil"/>
            </w:tcBorders>
          </w:tcPr>
          <w:p w14:paraId="38963D92"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0.04</w:t>
            </w:r>
          </w:p>
        </w:tc>
        <w:tc>
          <w:tcPr>
            <w:tcW w:w="843" w:type="dxa"/>
            <w:tcBorders>
              <w:top w:val="nil"/>
              <w:left w:val="nil"/>
              <w:bottom w:val="nil"/>
              <w:right w:val="nil"/>
            </w:tcBorders>
          </w:tcPr>
          <w:p w14:paraId="76C4E4D9"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0.19</w:t>
            </w:r>
            <w:r>
              <w:rPr>
                <w:rFonts w:ascii="Times New Roman" w:hAnsi="Times New Roman" w:cs="Times New Roman"/>
                <w:sz w:val="24"/>
                <w:szCs w:val="24"/>
              </w:rPr>
              <w:t>*</w:t>
            </w:r>
          </w:p>
        </w:tc>
        <w:tc>
          <w:tcPr>
            <w:tcW w:w="842" w:type="dxa"/>
            <w:tcBorders>
              <w:top w:val="nil"/>
              <w:left w:val="nil"/>
              <w:bottom w:val="nil"/>
              <w:right w:val="nil"/>
            </w:tcBorders>
          </w:tcPr>
          <w:p w14:paraId="7A8C5EBA" w14:textId="77777777" w:rsidR="009C4AE1"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8E2E96">
              <w:rPr>
                <w:rFonts w:ascii="Times New Roman" w:hAnsi="Times New Roman" w:cs="Times New Roman"/>
                <w:sz w:val="24"/>
                <w:szCs w:val="24"/>
              </w:rPr>
              <w:t>0.37</w:t>
            </w:r>
            <w:r>
              <w:rPr>
                <w:rFonts w:ascii="Times New Roman" w:hAnsi="Times New Roman" w:cs="Times New Roman"/>
                <w:sz w:val="24"/>
                <w:szCs w:val="24"/>
              </w:rPr>
              <w:t>*</w:t>
            </w:r>
          </w:p>
        </w:tc>
        <w:tc>
          <w:tcPr>
            <w:tcW w:w="842" w:type="dxa"/>
            <w:tcBorders>
              <w:top w:val="nil"/>
              <w:left w:val="nil"/>
              <w:bottom w:val="nil"/>
              <w:right w:val="nil"/>
            </w:tcBorders>
          </w:tcPr>
          <w:p w14:paraId="761AF62F"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0.11</w:t>
            </w:r>
            <w:r>
              <w:rPr>
                <w:rFonts w:ascii="Times New Roman" w:hAnsi="Times New Roman" w:cs="Times New Roman"/>
                <w:sz w:val="24"/>
                <w:szCs w:val="24"/>
              </w:rPr>
              <w:t>*</w:t>
            </w:r>
          </w:p>
        </w:tc>
        <w:tc>
          <w:tcPr>
            <w:tcW w:w="842" w:type="dxa"/>
            <w:tcBorders>
              <w:top w:val="nil"/>
              <w:left w:val="nil"/>
              <w:bottom w:val="nil"/>
              <w:right w:val="nil"/>
            </w:tcBorders>
          </w:tcPr>
          <w:p w14:paraId="03636995" w14:textId="77777777" w:rsidR="009C4AE1"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8E2E96">
              <w:rPr>
                <w:rFonts w:ascii="Times New Roman" w:hAnsi="Times New Roman" w:cs="Times New Roman"/>
                <w:sz w:val="24"/>
                <w:szCs w:val="24"/>
              </w:rPr>
              <w:t>1.00</w:t>
            </w:r>
          </w:p>
        </w:tc>
        <w:tc>
          <w:tcPr>
            <w:tcW w:w="842" w:type="dxa"/>
            <w:tcBorders>
              <w:top w:val="nil"/>
              <w:left w:val="nil"/>
              <w:bottom w:val="nil"/>
              <w:right w:val="nil"/>
            </w:tcBorders>
          </w:tcPr>
          <w:p w14:paraId="17D61A06" w14:textId="77777777" w:rsidR="009C4AE1" w:rsidRDefault="009C4AE1" w:rsidP="00BA7963">
            <w:pPr>
              <w:rPr>
                <w:rFonts w:ascii="Times New Roman" w:hAnsi="Times New Roman" w:cs="Times New Roman"/>
                <w:sz w:val="24"/>
                <w:szCs w:val="24"/>
              </w:rPr>
            </w:pPr>
          </w:p>
        </w:tc>
        <w:tc>
          <w:tcPr>
            <w:tcW w:w="787" w:type="dxa"/>
            <w:tcBorders>
              <w:top w:val="nil"/>
              <w:left w:val="nil"/>
              <w:bottom w:val="nil"/>
              <w:right w:val="nil"/>
            </w:tcBorders>
          </w:tcPr>
          <w:p w14:paraId="0BB1280F" w14:textId="77777777" w:rsidR="009C4AE1" w:rsidRDefault="009C4AE1" w:rsidP="00BA7963">
            <w:pPr>
              <w:rPr>
                <w:rFonts w:ascii="Times New Roman" w:hAnsi="Times New Roman" w:cs="Times New Roman"/>
                <w:sz w:val="24"/>
                <w:szCs w:val="24"/>
              </w:rPr>
            </w:pPr>
          </w:p>
        </w:tc>
        <w:tc>
          <w:tcPr>
            <w:tcW w:w="716" w:type="dxa"/>
            <w:tcBorders>
              <w:top w:val="nil"/>
              <w:left w:val="nil"/>
              <w:bottom w:val="nil"/>
              <w:right w:val="nil"/>
            </w:tcBorders>
          </w:tcPr>
          <w:p w14:paraId="265A6CB1" w14:textId="77777777" w:rsidR="009C4AE1" w:rsidRDefault="009C4AE1" w:rsidP="00BA7963">
            <w:pPr>
              <w:rPr>
                <w:rFonts w:ascii="Times New Roman" w:hAnsi="Times New Roman" w:cs="Times New Roman"/>
                <w:sz w:val="24"/>
                <w:szCs w:val="24"/>
              </w:rPr>
            </w:pPr>
          </w:p>
        </w:tc>
      </w:tr>
      <w:tr w:rsidR="009C4AE1" w:rsidRPr="00202B20" w14:paraId="3D52FBF6" w14:textId="77777777" w:rsidTr="00BA7963">
        <w:tc>
          <w:tcPr>
            <w:tcW w:w="456" w:type="dxa"/>
            <w:tcBorders>
              <w:top w:val="nil"/>
              <w:left w:val="nil"/>
              <w:bottom w:val="nil"/>
              <w:right w:val="nil"/>
            </w:tcBorders>
          </w:tcPr>
          <w:p w14:paraId="3F3072BB" w14:textId="77777777" w:rsidR="009C4AE1"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4932" w:type="dxa"/>
            <w:tcBorders>
              <w:top w:val="nil"/>
              <w:left w:val="nil"/>
              <w:bottom w:val="nil"/>
              <w:right w:val="nil"/>
            </w:tcBorders>
          </w:tcPr>
          <w:p w14:paraId="40AE43C7" w14:textId="77777777" w:rsidR="009C4AE1" w:rsidRPr="0071488F"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sz w:val="24"/>
                <w:szCs w:val="24"/>
                <w:lang w:val="en-US"/>
              </w:rPr>
              <w:t>Supplier’s relative ESG performance</w:t>
            </w:r>
          </w:p>
        </w:tc>
        <w:tc>
          <w:tcPr>
            <w:tcW w:w="899" w:type="dxa"/>
            <w:tcBorders>
              <w:top w:val="nil"/>
              <w:left w:val="nil"/>
              <w:bottom w:val="nil"/>
              <w:right w:val="nil"/>
            </w:tcBorders>
          </w:tcPr>
          <w:p w14:paraId="786B0CF2"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w:t>
            </w:r>
            <w:r>
              <w:rPr>
                <w:rFonts w:ascii="Times New Roman" w:hAnsi="Times New Roman" w:cs="Times New Roman"/>
                <w:sz w:val="24"/>
                <w:szCs w:val="24"/>
              </w:rPr>
              <w:t>1</w:t>
            </w:r>
            <w:r w:rsidRPr="008E2E96">
              <w:rPr>
                <w:rFonts w:ascii="Times New Roman" w:hAnsi="Times New Roman" w:cs="Times New Roman"/>
                <w:sz w:val="24"/>
                <w:szCs w:val="24"/>
              </w:rPr>
              <w:t>8</w:t>
            </w:r>
            <w:r>
              <w:rPr>
                <w:rFonts w:ascii="Times New Roman" w:hAnsi="Times New Roman" w:cs="Times New Roman"/>
                <w:sz w:val="24"/>
                <w:szCs w:val="24"/>
              </w:rPr>
              <w:t>*</w:t>
            </w:r>
          </w:p>
        </w:tc>
        <w:tc>
          <w:tcPr>
            <w:tcW w:w="899" w:type="dxa"/>
            <w:tcBorders>
              <w:top w:val="nil"/>
              <w:left w:val="nil"/>
              <w:bottom w:val="nil"/>
              <w:right w:val="nil"/>
            </w:tcBorders>
          </w:tcPr>
          <w:p w14:paraId="3DDC9015"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0.06</w:t>
            </w:r>
            <w:r>
              <w:rPr>
                <w:rFonts w:ascii="Times New Roman" w:hAnsi="Times New Roman" w:cs="Times New Roman"/>
                <w:sz w:val="24"/>
                <w:szCs w:val="24"/>
              </w:rPr>
              <w:t>*</w:t>
            </w:r>
          </w:p>
        </w:tc>
        <w:tc>
          <w:tcPr>
            <w:tcW w:w="843" w:type="dxa"/>
            <w:tcBorders>
              <w:top w:val="nil"/>
              <w:left w:val="nil"/>
              <w:bottom w:val="nil"/>
              <w:right w:val="nil"/>
            </w:tcBorders>
          </w:tcPr>
          <w:p w14:paraId="51904C52"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0.13</w:t>
            </w:r>
            <w:r>
              <w:rPr>
                <w:rFonts w:ascii="Times New Roman" w:hAnsi="Times New Roman" w:cs="Times New Roman"/>
                <w:sz w:val="24"/>
                <w:szCs w:val="24"/>
              </w:rPr>
              <w:t>*</w:t>
            </w:r>
          </w:p>
        </w:tc>
        <w:tc>
          <w:tcPr>
            <w:tcW w:w="842" w:type="dxa"/>
            <w:tcBorders>
              <w:top w:val="nil"/>
              <w:left w:val="nil"/>
              <w:bottom w:val="nil"/>
              <w:right w:val="nil"/>
            </w:tcBorders>
          </w:tcPr>
          <w:p w14:paraId="27CCC5B3" w14:textId="77777777" w:rsidR="009C4AE1"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8E2E96">
              <w:rPr>
                <w:rFonts w:ascii="Times New Roman" w:hAnsi="Times New Roman" w:cs="Times New Roman"/>
                <w:sz w:val="24"/>
                <w:szCs w:val="24"/>
              </w:rPr>
              <w:t>0.05</w:t>
            </w:r>
            <w:r>
              <w:rPr>
                <w:rFonts w:ascii="Times New Roman" w:hAnsi="Times New Roman" w:cs="Times New Roman"/>
                <w:sz w:val="24"/>
                <w:szCs w:val="24"/>
              </w:rPr>
              <w:t>*</w:t>
            </w:r>
          </w:p>
        </w:tc>
        <w:tc>
          <w:tcPr>
            <w:tcW w:w="842" w:type="dxa"/>
            <w:tcBorders>
              <w:top w:val="nil"/>
              <w:left w:val="nil"/>
              <w:bottom w:val="nil"/>
              <w:right w:val="nil"/>
            </w:tcBorders>
          </w:tcPr>
          <w:p w14:paraId="75C92AAF"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0.02</w:t>
            </w:r>
          </w:p>
        </w:tc>
        <w:tc>
          <w:tcPr>
            <w:tcW w:w="842" w:type="dxa"/>
            <w:tcBorders>
              <w:top w:val="nil"/>
              <w:left w:val="nil"/>
              <w:bottom w:val="nil"/>
              <w:right w:val="nil"/>
            </w:tcBorders>
          </w:tcPr>
          <w:p w14:paraId="4177606E" w14:textId="77777777" w:rsidR="009C4AE1"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8E2E96">
              <w:rPr>
                <w:rFonts w:ascii="Times New Roman" w:hAnsi="Times New Roman" w:cs="Times New Roman"/>
                <w:sz w:val="24"/>
                <w:szCs w:val="24"/>
              </w:rPr>
              <w:t>0.13</w:t>
            </w:r>
            <w:r>
              <w:rPr>
                <w:rFonts w:ascii="Times New Roman" w:hAnsi="Times New Roman" w:cs="Times New Roman"/>
                <w:sz w:val="24"/>
                <w:szCs w:val="24"/>
              </w:rPr>
              <w:t>*</w:t>
            </w:r>
          </w:p>
        </w:tc>
        <w:tc>
          <w:tcPr>
            <w:tcW w:w="842" w:type="dxa"/>
            <w:tcBorders>
              <w:top w:val="nil"/>
              <w:left w:val="nil"/>
              <w:bottom w:val="nil"/>
              <w:right w:val="nil"/>
            </w:tcBorders>
          </w:tcPr>
          <w:p w14:paraId="1BBB2252"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1.00</w:t>
            </w:r>
          </w:p>
        </w:tc>
        <w:tc>
          <w:tcPr>
            <w:tcW w:w="787" w:type="dxa"/>
            <w:tcBorders>
              <w:top w:val="nil"/>
              <w:left w:val="nil"/>
              <w:bottom w:val="nil"/>
              <w:right w:val="nil"/>
            </w:tcBorders>
          </w:tcPr>
          <w:p w14:paraId="75206CC4" w14:textId="77777777" w:rsidR="009C4AE1" w:rsidRDefault="009C4AE1" w:rsidP="00BA7963">
            <w:pPr>
              <w:rPr>
                <w:rFonts w:ascii="Times New Roman" w:hAnsi="Times New Roman" w:cs="Times New Roman"/>
                <w:sz w:val="24"/>
                <w:szCs w:val="24"/>
              </w:rPr>
            </w:pPr>
          </w:p>
        </w:tc>
        <w:tc>
          <w:tcPr>
            <w:tcW w:w="716" w:type="dxa"/>
            <w:tcBorders>
              <w:top w:val="nil"/>
              <w:left w:val="nil"/>
              <w:bottom w:val="nil"/>
              <w:right w:val="nil"/>
            </w:tcBorders>
          </w:tcPr>
          <w:p w14:paraId="77F99841" w14:textId="77777777" w:rsidR="009C4AE1" w:rsidRPr="0046220F" w:rsidRDefault="009C4AE1" w:rsidP="00BA7963">
            <w:pPr>
              <w:rPr>
                <w:rFonts w:ascii="Times New Roman" w:hAnsi="Times New Roman" w:cs="Times New Roman"/>
                <w:sz w:val="24"/>
                <w:szCs w:val="24"/>
              </w:rPr>
            </w:pPr>
          </w:p>
        </w:tc>
      </w:tr>
      <w:tr w:rsidR="009C4AE1" w:rsidRPr="00202B20" w14:paraId="6D65C5AC" w14:textId="77777777" w:rsidTr="00BA7963">
        <w:tc>
          <w:tcPr>
            <w:tcW w:w="456" w:type="dxa"/>
            <w:tcBorders>
              <w:top w:val="nil"/>
              <w:left w:val="nil"/>
              <w:bottom w:val="nil"/>
              <w:right w:val="nil"/>
            </w:tcBorders>
          </w:tcPr>
          <w:p w14:paraId="3398DA12" w14:textId="77777777" w:rsidR="009C4AE1" w:rsidRPr="0071488F"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4932" w:type="dxa"/>
            <w:tcBorders>
              <w:top w:val="nil"/>
              <w:left w:val="nil"/>
              <w:bottom w:val="nil"/>
              <w:right w:val="nil"/>
            </w:tcBorders>
          </w:tcPr>
          <w:p w14:paraId="09F2A5E1" w14:textId="77777777" w:rsidR="009C4AE1" w:rsidRPr="0071488F" w:rsidRDefault="009C4AE1" w:rsidP="00BA7963">
            <w:pPr>
              <w:spacing w:line="340" w:lineRule="exact"/>
              <w:rPr>
                <w:rFonts w:ascii="Times New Roman" w:hAnsi="Times New Roman" w:cs="Times New Roman"/>
                <w:color w:val="000000" w:themeColor="text1"/>
                <w:sz w:val="24"/>
                <w:szCs w:val="24"/>
              </w:rPr>
            </w:pPr>
            <w:proofErr w:type="spellStart"/>
            <w:r w:rsidRPr="0071488F">
              <w:rPr>
                <w:rFonts w:ascii="Times New Roman" w:hAnsi="Times New Roman" w:cs="Times New Roman"/>
                <w:color w:val="000000" w:themeColor="text1"/>
                <w:sz w:val="24"/>
                <w:szCs w:val="24"/>
              </w:rPr>
              <w:t>Relationship</w:t>
            </w:r>
            <w:proofErr w:type="spellEnd"/>
            <w:r w:rsidRPr="0071488F">
              <w:rPr>
                <w:rFonts w:ascii="Times New Roman" w:hAnsi="Times New Roman" w:cs="Times New Roman"/>
                <w:color w:val="000000" w:themeColor="text1"/>
                <w:sz w:val="24"/>
                <w:szCs w:val="24"/>
              </w:rPr>
              <w:t xml:space="preserve"> </w:t>
            </w:r>
            <w:proofErr w:type="spellStart"/>
            <w:r w:rsidRPr="0071488F">
              <w:rPr>
                <w:rFonts w:ascii="Times New Roman" w:hAnsi="Times New Roman" w:cs="Times New Roman"/>
                <w:color w:val="000000" w:themeColor="text1"/>
                <w:sz w:val="24"/>
                <w:szCs w:val="24"/>
              </w:rPr>
              <w:t>length</w:t>
            </w:r>
            <w:proofErr w:type="spellEnd"/>
          </w:p>
        </w:tc>
        <w:tc>
          <w:tcPr>
            <w:tcW w:w="899" w:type="dxa"/>
            <w:tcBorders>
              <w:top w:val="nil"/>
              <w:left w:val="nil"/>
              <w:bottom w:val="nil"/>
              <w:right w:val="nil"/>
            </w:tcBorders>
          </w:tcPr>
          <w:p w14:paraId="3CD26B33"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0.10</w:t>
            </w:r>
            <w:r>
              <w:rPr>
                <w:rFonts w:ascii="Times New Roman" w:hAnsi="Times New Roman" w:cs="Times New Roman"/>
                <w:sz w:val="24"/>
                <w:szCs w:val="24"/>
              </w:rPr>
              <w:t>*</w:t>
            </w:r>
          </w:p>
        </w:tc>
        <w:tc>
          <w:tcPr>
            <w:tcW w:w="899" w:type="dxa"/>
            <w:tcBorders>
              <w:top w:val="nil"/>
              <w:left w:val="nil"/>
              <w:bottom w:val="nil"/>
              <w:right w:val="nil"/>
            </w:tcBorders>
          </w:tcPr>
          <w:p w14:paraId="6F6761C9"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0.07</w:t>
            </w:r>
            <w:r>
              <w:rPr>
                <w:rFonts w:ascii="Times New Roman" w:hAnsi="Times New Roman" w:cs="Times New Roman"/>
                <w:sz w:val="24"/>
                <w:szCs w:val="24"/>
              </w:rPr>
              <w:t>*</w:t>
            </w:r>
          </w:p>
        </w:tc>
        <w:tc>
          <w:tcPr>
            <w:tcW w:w="843" w:type="dxa"/>
            <w:tcBorders>
              <w:top w:val="nil"/>
              <w:left w:val="nil"/>
              <w:bottom w:val="nil"/>
              <w:right w:val="nil"/>
            </w:tcBorders>
          </w:tcPr>
          <w:p w14:paraId="6C1F4930"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0.05</w:t>
            </w:r>
            <w:r>
              <w:rPr>
                <w:rFonts w:ascii="Times New Roman" w:hAnsi="Times New Roman" w:cs="Times New Roman"/>
                <w:sz w:val="24"/>
                <w:szCs w:val="24"/>
              </w:rPr>
              <w:t>*</w:t>
            </w:r>
          </w:p>
        </w:tc>
        <w:tc>
          <w:tcPr>
            <w:tcW w:w="842" w:type="dxa"/>
            <w:tcBorders>
              <w:top w:val="nil"/>
              <w:left w:val="nil"/>
              <w:bottom w:val="nil"/>
              <w:right w:val="nil"/>
            </w:tcBorders>
          </w:tcPr>
          <w:p w14:paraId="0747A94E" w14:textId="77777777" w:rsidR="009C4AE1"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8E2E96">
              <w:rPr>
                <w:rFonts w:ascii="Times New Roman" w:hAnsi="Times New Roman" w:cs="Times New Roman"/>
                <w:sz w:val="24"/>
                <w:szCs w:val="24"/>
              </w:rPr>
              <w:t>0.00</w:t>
            </w:r>
          </w:p>
        </w:tc>
        <w:tc>
          <w:tcPr>
            <w:tcW w:w="842" w:type="dxa"/>
            <w:tcBorders>
              <w:top w:val="nil"/>
              <w:left w:val="nil"/>
              <w:bottom w:val="nil"/>
              <w:right w:val="nil"/>
            </w:tcBorders>
          </w:tcPr>
          <w:p w14:paraId="6336DA58"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0.04</w:t>
            </w:r>
          </w:p>
        </w:tc>
        <w:tc>
          <w:tcPr>
            <w:tcW w:w="842" w:type="dxa"/>
            <w:tcBorders>
              <w:top w:val="nil"/>
              <w:left w:val="nil"/>
              <w:bottom w:val="nil"/>
              <w:right w:val="nil"/>
            </w:tcBorders>
          </w:tcPr>
          <w:p w14:paraId="4A6346F9" w14:textId="77777777" w:rsidR="009C4AE1" w:rsidRDefault="009C4AE1" w:rsidP="00BA7963">
            <w:pPr>
              <w:rPr>
                <w:rFonts w:ascii="Times New Roman" w:hAnsi="Times New Roman" w:cs="Times New Roman"/>
                <w:sz w:val="24"/>
                <w:szCs w:val="24"/>
              </w:rPr>
            </w:pPr>
            <w:r>
              <w:rPr>
                <w:rFonts w:ascii="Times New Roman" w:hAnsi="Times New Roman" w:cs="Times New Roman"/>
                <w:sz w:val="24"/>
                <w:szCs w:val="24"/>
              </w:rPr>
              <w:t xml:space="preserve"> </w:t>
            </w:r>
            <w:r w:rsidRPr="008E2E96">
              <w:rPr>
                <w:rFonts w:ascii="Times New Roman" w:hAnsi="Times New Roman" w:cs="Times New Roman"/>
                <w:sz w:val="24"/>
                <w:szCs w:val="24"/>
              </w:rPr>
              <w:t>0.17</w:t>
            </w:r>
            <w:r>
              <w:rPr>
                <w:rFonts w:ascii="Times New Roman" w:hAnsi="Times New Roman" w:cs="Times New Roman"/>
                <w:sz w:val="24"/>
                <w:szCs w:val="24"/>
              </w:rPr>
              <w:t>*</w:t>
            </w:r>
          </w:p>
        </w:tc>
        <w:tc>
          <w:tcPr>
            <w:tcW w:w="842" w:type="dxa"/>
            <w:tcBorders>
              <w:top w:val="nil"/>
              <w:left w:val="nil"/>
              <w:bottom w:val="nil"/>
              <w:right w:val="nil"/>
            </w:tcBorders>
          </w:tcPr>
          <w:p w14:paraId="5DA6929A"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0.11</w:t>
            </w:r>
            <w:r>
              <w:rPr>
                <w:rFonts w:ascii="Times New Roman" w:hAnsi="Times New Roman" w:cs="Times New Roman"/>
                <w:sz w:val="24"/>
                <w:szCs w:val="24"/>
              </w:rPr>
              <w:t>*</w:t>
            </w:r>
          </w:p>
        </w:tc>
        <w:tc>
          <w:tcPr>
            <w:tcW w:w="787" w:type="dxa"/>
            <w:tcBorders>
              <w:top w:val="nil"/>
              <w:left w:val="nil"/>
              <w:bottom w:val="nil"/>
              <w:right w:val="nil"/>
            </w:tcBorders>
          </w:tcPr>
          <w:p w14:paraId="5A52F71C"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1.00</w:t>
            </w:r>
          </w:p>
        </w:tc>
        <w:tc>
          <w:tcPr>
            <w:tcW w:w="716" w:type="dxa"/>
            <w:tcBorders>
              <w:top w:val="nil"/>
              <w:left w:val="nil"/>
              <w:bottom w:val="nil"/>
              <w:right w:val="nil"/>
            </w:tcBorders>
          </w:tcPr>
          <w:p w14:paraId="3BDECCDB" w14:textId="77777777" w:rsidR="009C4AE1" w:rsidRDefault="009C4AE1" w:rsidP="00BA7963">
            <w:pPr>
              <w:rPr>
                <w:rFonts w:ascii="Times New Roman" w:hAnsi="Times New Roman" w:cs="Times New Roman"/>
                <w:sz w:val="24"/>
                <w:szCs w:val="24"/>
              </w:rPr>
            </w:pPr>
          </w:p>
        </w:tc>
      </w:tr>
      <w:tr w:rsidR="009C4AE1" w:rsidRPr="00202B20" w14:paraId="3F552DD1" w14:textId="77777777" w:rsidTr="00BA7963">
        <w:tc>
          <w:tcPr>
            <w:tcW w:w="456" w:type="dxa"/>
            <w:tcBorders>
              <w:top w:val="nil"/>
              <w:left w:val="nil"/>
              <w:bottom w:val="nil"/>
              <w:right w:val="nil"/>
            </w:tcBorders>
          </w:tcPr>
          <w:p w14:paraId="745D48B3" w14:textId="77777777" w:rsidR="009C4AE1" w:rsidRPr="0071488F" w:rsidRDefault="009C4AE1" w:rsidP="00BA7963">
            <w:pPr>
              <w:spacing w:line="34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4932" w:type="dxa"/>
            <w:tcBorders>
              <w:top w:val="nil"/>
              <w:left w:val="nil"/>
              <w:bottom w:val="nil"/>
              <w:right w:val="nil"/>
            </w:tcBorders>
          </w:tcPr>
          <w:p w14:paraId="39BAE68D" w14:textId="77777777" w:rsidR="009C4AE1" w:rsidRPr="0071488F" w:rsidRDefault="009C4AE1" w:rsidP="00BA7963">
            <w:pPr>
              <w:spacing w:line="340" w:lineRule="exact"/>
              <w:rPr>
                <w:rFonts w:ascii="Times New Roman" w:hAnsi="Times New Roman" w:cs="Times New Roman"/>
                <w:strike/>
                <w:color w:val="000000" w:themeColor="text1"/>
                <w:sz w:val="24"/>
                <w:szCs w:val="24"/>
              </w:rPr>
            </w:pPr>
            <w:r w:rsidRPr="0071488F">
              <w:rPr>
                <w:rFonts w:ascii="Times New Roman" w:hAnsi="Times New Roman" w:cs="Times New Roman"/>
                <w:color w:val="000000" w:themeColor="text1"/>
                <w:sz w:val="24"/>
                <w:szCs w:val="24"/>
              </w:rPr>
              <w:t xml:space="preserve">Mutual </w:t>
            </w:r>
            <w:proofErr w:type="spellStart"/>
            <w:r w:rsidRPr="0071488F">
              <w:rPr>
                <w:rFonts w:ascii="Times New Roman" w:hAnsi="Times New Roman" w:cs="Times New Roman"/>
                <w:color w:val="000000" w:themeColor="text1"/>
                <w:sz w:val="24"/>
                <w:szCs w:val="24"/>
              </w:rPr>
              <w:t>dependence</w:t>
            </w:r>
            <w:proofErr w:type="spellEnd"/>
          </w:p>
        </w:tc>
        <w:tc>
          <w:tcPr>
            <w:tcW w:w="899" w:type="dxa"/>
            <w:tcBorders>
              <w:top w:val="nil"/>
              <w:left w:val="nil"/>
              <w:bottom w:val="nil"/>
              <w:right w:val="nil"/>
            </w:tcBorders>
          </w:tcPr>
          <w:p w14:paraId="522B7BE0"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0.11</w:t>
            </w:r>
            <w:r>
              <w:rPr>
                <w:rFonts w:ascii="Times New Roman" w:hAnsi="Times New Roman" w:cs="Times New Roman"/>
                <w:sz w:val="24"/>
                <w:szCs w:val="24"/>
              </w:rPr>
              <w:t>*</w:t>
            </w:r>
          </w:p>
        </w:tc>
        <w:tc>
          <w:tcPr>
            <w:tcW w:w="899" w:type="dxa"/>
            <w:tcBorders>
              <w:top w:val="nil"/>
              <w:left w:val="nil"/>
              <w:bottom w:val="nil"/>
              <w:right w:val="nil"/>
            </w:tcBorders>
          </w:tcPr>
          <w:p w14:paraId="693C133E"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0.01</w:t>
            </w:r>
          </w:p>
        </w:tc>
        <w:tc>
          <w:tcPr>
            <w:tcW w:w="843" w:type="dxa"/>
            <w:tcBorders>
              <w:top w:val="nil"/>
              <w:left w:val="nil"/>
              <w:bottom w:val="nil"/>
              <w:right w:val="nil"/>
            </w:tcBorders>
          </w:tcPr>
          <w:p w14:paraId="40BB2DAE"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0.06</w:t>
            </w:r>
          </w:p>
        </w:tc>
        <w:tc>
          <w:tcPr>
            <w:tcW w:w="842" w:type="dxa"/>
            <w:tcBorders>
              <w:top w:val="nil"/>
              <w:left w:val="nil"/>
              <w:bottom w:val="nil"/>
              <w:right w:val="nil"/>
            </w:tcBorders>
          </w:tcPr>
          <w:p w14:paraId="67D44539" w14:textId="77777777" w:rsidR="009C4AE1" w:rsidRDefault="009C4AE1" w:rsidP="00BA7963">
            <w:pPr>
              <w:rPr>
                <w:rFonts w:ascii="Times New Roman" w:hAnsi="Times New Roman" w:cs="Times New Roman"/>
                <w:sz w:val="24"/>
                <w:szCs w:val="24"/>
              </w:rPr>
            </w:pPr>
            <w:r>
              <w:rPr>
                <w:rFonts w:ascii="Times New Roman" w:hAnsi="Times New Roman" w:cs="Times New Roman"/>
                <w:sz w:val="24"/>
                <w:szCs w:val="24"/>
              </w:rPr>
              <w:t>-</w:t>
            </w:r>
            <w:r w:rsidRPr="008E2E96">
              <w:rPr>
                <w:rFonts w:ascii="Times New Roman" w:hAnsi="Times New Roman" w:cs="Times New Roman"/>
                <w:sz w:val="24"/>
                <w:szCs w:val="24"/>
              </w:rPr>
              <w:t>0.09</w:t>
            </w:r>
          </w:p>
        </w:tc>
        <w:tc>
          <w:tcPr>
            <w:tcW w:w="842" w:type="dxa"/>
            <w:tcBorders>
              <w:top w:val="nil"/>
              <w:left w:val="nil"/>
              <w:bottom w:val="nil"/>
              <w:right w:val="nil"/>
            </w:tcBorders>
          </w:tcPr>
          <w:p w14:paraId="557093D1"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0.03</w:t>
            </w:r>
          </w:p>
        </w:tc>
        <w:tc>
          <w:tcPr>
            <w:tcW w:w="842" w:type="dxa"/>
            <w:tcBorders>
              <w:top w:val="nil"/>
              <w:left w:val="nil"/>
              <w:bottom w:val="nil"/>
              <w:right w:val="nil"/>
            </w:tcBorders>
          </w:tcPr>
          <w:p w14:paraId="5AE39948" w14:textId="77777777" w:rsidR="009C4AE1" w:rsidRDefault="009C4AE1" w:rsidP="00BA7963">
            <w:pPr>
              <w:rPr>
                <w:rFonts w:ascii="Times New Roman" w:hAnsi="Times New Roman" w:cs="Times New Roman"/>
                <w:sz w:val="24"/>
                <w:szCs w:val="24"/>
              </w:rPr>
            </w:pPr>
            <w:r>
              <w:rPr>
                <w:rFonts w:ascii="Times New Roman" w:hAnsi="Times New Roman" w:cs="Times New Roman"/>
                <w:sz w:val="24"/>
                <w:szCs w:val="24"/>
              </w:rPr>
              <w:t>-</w:t>
            </w:r>
            <w:r w:rsidRPr="008E2E96">
              <w:rPr>
                <w:rFonts w:ascii="Times New Roman" w:hAnsi="Times New Roman" w:cs="Times New Roman"/>
                <w:sz w:val="24"/>
                <w:szCs w:val="24"/>
              </w:rPr>
              <w:t>0.0</w:t>
            </w:r>
            <w:r>
              <w:rPr>
                <w:rFonts w:ascii="Times New Roman" w:hAnsi="Times New Roman" w:cs="Times New Roman"/>
                <w:sz w:val="24"/>
                <w:szCs w:val="24"/>
              </w:rPr>
              <w:t>5*</w:t>
            </w:r>
          </w:p>
        </w:tc>
        <w:tc>
          <w:tcPr>
            <w:tcW w:w="842" w:type="dxa"/>
            <w:tcBorders>
              <w:top w:val="nil"/>
              <w:left w:val="nil"/>
              <w:bottom w:val="nil"/>
              <w:right w:val="nil"/>
            </w:tcBorders>
          </w:tcPr>
          <w:p w14:paraId="687C4F9F"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0.00</w:t>
            </w:r>
          </w:p>
        </w:tc>
        <w:tc>
          <w:tcPr>
            <w:tcW w:w="787" w:type="dxa"/>
            <w:tcBorders>
              <w:top w:val="nil"/>
              <w:left w:val="nil"/>
              <w:bottom w:val="nil"/>
              <w:right w:val="nil"/>
            </w:tcBorders>
          </w:tcPr>
          <w:p w14:paraId="04077942" w14:textId="77777777" w:rsidR="009C4AE1"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0.06</w:t>
            </w:r>
            <w:r>
              <w:rPr>
                <w:rFonts w:ascii="Times New Roman" w:hAnsi="Times New Roman" w:cs="Times New Roman"/>
                <w:sz w:val="24"/>
                <w:szCs w:val="24"/>
              </w:rPr>
              <w:t>*</w:t>
            </w:r>
          </w:p>
        </w:tc>
        <w:tc>
          <w:tcPr>
            <w:tcW w:w="716" w:type="dxa"/>
            <w:tcBorders>
              <w:top w:val="nil"/>
              <w:left w:val="nil"/>
              <w:bottom w:val="nil"/>
              <w:right w:val="nil"/>
            </w:tcBorders>
          </w:tcPr>
          <w:p w14:paraId="2DC37B12" w14:textId="77777777" w:rsidR="009C4AE1" w:rsidRPr="0046220F" w:rsidRDefault="009C4AE1" w:rsidP="00BA7963">
            <w:pPr>
              <w:rPr>
                <w:rFonts w:ascii="Times New Roman" w:hAnsi="Times New Roman" w:cs="Times New Roman"/>
                <w:sz w:val="24"/>
                <w:szCs w:val="24"/>
              </w:rPr>
            </w:pPr>
            <w:r w:rsidRPr="008E2E96">
              <w:rPr>
                <w:rFonts w:ascii="Times New Roman" w:hAnsi="Times New Roman" w:cs="Times New Roman"/>
                <w:sz w:val="24"/>
                <w:szCs w:val="24"/>
              </w:rPr>
              <w:t>1.00</w:t>
            </w:r>
          </w:p>
        </w:tc>
      </w:tr>
      <w:tr w:rsidR="009C4AE1" w:rsidRPr="00202B20" w14:paraId="05007C5C" w14:textId="77777777" w:rsidTr="00BA7963">
        <w:tc>
          <w:tcPr>
            <w:tcW w:w="456" w:type="dxa"/>
            <w:tcBorders>
              <w:top w:val="nil"/>
              <w:left w:val="nil"/>
              <w:bottom w:val="nil"/>
              <w:right w:val="nil"/>
            </w:tcBorders>
          </w:tcPr>
          <w:p w14:paraId="41CB8151" w14:textId="77777777" w:rsidR="009C4AE1" w:rsidRPr="00202B20" w:rsidRDefault="009C4AE1" w:rsidP="00BA7963">
            <w:pPr>
              <w:spacing w:line="340" w:lineRule="exact"/>
              <w:rPr>
                <w:rFonts w:ascii="Times New Roman" w:hAnsi="Times New Roman" w:cs="Times New Roman"/>
                <w:color w:val="000000" w:themeColor="text1"/>
                <w:sz w:val="24"/>
                <w:szCs w:val="24"/>
              </w:rPr>
            </w:pPr>
          </w:p>
        </w:tc>
        <w:tc>
          <w:tcPr>
            <w:tcW w:w="4932" w:type="dxa"/>
            <w:tcBorders>
              <w:top w:val="nil"/>
              <w:left w:val="nil"/>
              <w:bottom w:val="nil"/>
              <w:right w:val="nil"/>
            </w:tcBorders>
          </w:tcPr>
          <w:p w14:paraId="372CEAD3" w14:textId="77777777" w:rsidR="009C4AE1" w:rsidRPr="00202B20" w:rsidRDefault="009C4AE1" w:rsidP="00BA7963">
            <w:pPr>
              <w:spacing w:line="340" w:lineRule="exact"/>
              <w:rPr>
                <w:rFonts w:ascii="Times New Roman" w:hAnsi="Times New Roman" w:cs="Times New Roman"/>
                <w:color w:val="000000" w:themeColor="text1"/>
                <w:sz w:val="24"/>
                <w:szCs w:val="24"/>
              </w:rPr>
            </w:pPr>
            <w:r w:rsidRPr="00202B20">
              <w:rPr>
                <w:rFonts w:ascii="Times New Roman" w:hAnsi="Times New Roman" w:cs="Times New Roman"/>
                <w:color w:val="000000" w:themeColor="text1"/>
                <w:sz w:val="24"/>
                <w:szCs w:val="24"/>
              </w:rPr>
              <w:t>Mean</w:t>
            </w:r>
          </w:p>
        </w:tc>
        <w:tc>
          <w:tcPr>
            <w:tcW w:w="899" w:type="dxa"/>
            <w:tcBorders>
              <w:top w:val="nil"/>
              <w:left w:val="nil"/>
              <w:bottom w:val="nil"/>
              <w:right w:val="nil"/>
            </w:tcBorders>
          </w:tcPr>
          <w:p w14:paraId="513977CB"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9.52</w:t>
            </w:r>
          </w:p>
        </w:tc>
        <w:tc>
          <w:tcPr>
            <w:tcW w:w="899" w:type="dxa"/>
            <w:tcBorders>
              <w:top w:val="nil"/>
              <w:left w:val="nil"/>
              <w:bottom w:val="nil"/>
              <w:right w:val="nil"/>
            </w:tcBorders>
          </w:tcPr>
          <w:p w14:paraId="24B58A1A"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1.06</w:t>
            </w:r>
          </w:p>
        </w:tc>
        <w:tc>
          <w:tcPr>
            <w:tcW w:w="843" w:type="dxa"/>
            <w:tcBorders>
              <w:top w:val="nil"/>
              <w:left w:val="nil"/>
              <w:bottom w:val="nil"/>
              <w:right w:val="nil"/>
            </w:tcBorders>
          </w:tcPr>
          <w:p w14:paraId="637FDBBD"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20.94</w:t>
            </w:r>
          </w:p>
        </w:tc>
        <w:tc>
          <w:tcPr>
            <w:tcW w:w="842" w:type="dxa"/>
            <w:tcBorders>
              <w:top w:val="nil"/>
              <w:left w:val="nil"/>
              <w:bottom w:val="nil"/>
              <w:right w:val="nil"/>
            </w:tcBorders>
          </w:tcPr>
          <w:p w14:paraId="3B1DC8C3"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3.10</w:t>
            </w:r>
          </w:p>
        </w:tc>
        <w:tc>
          <w:tcPr>
            <w:tcW w:w="842" w:type="dxa"/>
            <w:tcBorders>
              <w:top w:val="nil"/>
              <w:left w:val="nil"/>
              <w:bottom w:val="nil"/>
              <w:right w:val="nil"/>
            </w:tcBorders>
          </w:tcPr>
          <w:p w14:paraId="00ABB849"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0.06</w:t>
            </w:r>
          </w:p>
        </w:tc>
        <w:tc>
          <w:tcPr>
            <w:tcW w:w="842" w:type="dxa"/>
            <w:tcBorders>
              <w:top w:val="nil"/>
              <w:left w:val="nil"/>
              <w:bottom w:val="nil"/>
              <w:right w:val="nil"/>
            </w:tcBorders>
          </w:tcPr>
          <w:p w14:paraId="56C97B05"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53.81</w:t>
            </w:r>
          </w:p>
        </w:tc>
        <w:tc>
          <w:tcPr>
            <w:tcW w:w="842" w:type="dxa"/>
            <w:tcBorders>
              <w:top w:val="nil"/>
              <w:left w:val="nil"/>
              <w:bottom w:val="nil"/>
              <w:right w:val="nil"/>
            </w:tcBorders>
          </w:tcPr>
          <w:p w14:paraId="0A8158FF"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39.51</w:t>
            </w:r>
          </w:p>
        </w:tc>
        <w:tc>
          <w:tcPr>
            <w:tcW w:w="787" w:type="dxa"/>
            <w:tcBorders>
              <w:top w:val="nil"/>
              <w:left w:val="nil"/>
              <w:bottom w:val="nil"/>
              <w:right w:val="nil"/>
            </w:tcBorders>
          </w:tcPr>
          <w:p w14:paraId="1F3FD5FA" w14:textId="77777777" w:rsidR="009C4AE1" w:rsidRDefault="009C4AE1" w:rsidP="00BA7963">
            <w:pPr>
              <w:rPr>
                <w:rFonts w:ascii="Times New Roman" w:hAnsi="Times New Roman" w:cs="Times New Roman"/>
                <w:sz w:val="24"/>
                <w:szCs w:val="24"/>
              </w:rPr>
            </w:pPr>
            <w:r>
              <w:rPr>
                <w:rFonts w:ascii="Times New Roman" w:hAnsi="Times New Roman" w:cs="Times New Roman"/>
              </w:rPr>
              <w:t>5</w:t>
            </w:r>
            <w:r w:rsidRPr="00FE145C">
              <w:rPr>
                <w:rFonts w:ascii="Times New Roman" w:hAnsi="Times New Roman" w:cs="Times New Roman"/>
              </w:rPr>
              <w:t>.05</w:t>
            </w:r>
          </w:p>
        </w:tc>
        <w:tc>
          <w:tcPr>
            <w:tcW w:w="716" w:type="dxa"/>
            <w:tcBorders>
              <w:top w:val="nil"/>
              <w:left w:val="nil"/>
              <w:bottom w:val="nil"/>
              <w:right w:val="nil"/>
            </w:tcBorders>
          </w:tcPr>
          <w:p w14:paraId="6F009928" w14:textId="77777777" w:rsidR="009C4AE1" w:rsidRPr="00945111" w:rsidRDefault="009C4AE1" w:rsidP="00BA7963">
            <w:pPr>
              <w:rPr>
                <w:rFonts w:ascii="Times New Roman" w:hAnsi="Times New Roman" w:cs="Times New Roman"/>
                <w:sz w:val="24"/>
                <w:szCs w:val="24"/>
              </w:rPr>
            </w:pPr>
            <w:r w:rsidRPr="00FE145C">
              <w:rPr>
                <w:rFonts w:ascii="Times New Roman" w:hAnsi="Times New Roman" w:cs="Times New Roman"/>
              </w:rPr>
              <w:t>0.95</w:t>
            </w:r>
          </w:p>
        </w:tc>
      </w:tr>
      <w:tr w:rsidR="009C4AE1" w:rsidRPr="00BF30A8" w14:paraId="46F31E3A" w14:textId="77777777" w:rsidTr="00BA7963">
        <w:tc>
          <w:tcPr>
            <w:tcW w:w="456" w:type="dxa"/>
            <w:tcBorders>
              <w:top w:val="nil"/>
              <w:left w:val="nil"/>
              <w:bottom w:val="double" w:sz="4" w:space="0" w:color="auto"/>
              <w:right w:val="nil"/>
            </w:tcBorders>
          </w:tcPr>
          <w:p w14:paraId="7EAF8D64" w14:textId="77777777" w:rsidR="009C4AE1" w:rsidRPr="00202B20" w:rsidRDefault="009C4AE1" w:rsidP="00BA7963">
            <w:pPr>
              <w:spacing w:line="340" w:lineRule="exact"/>
              <w:rPr>
                <w:rFonts w:ascii="Times New Roman" w:hAnsi="Times New Roman" w:cs="Times New Roman"/>
                <w:color w:val="000000" w:themeColor="text1"/>
                <w:sz w:val="24"/>
                <w:szCs w:val="24"/>
              </w:rPr>
            </w:pPr>
          </w:p>
        </w:tc>
        <w:tc>
          <w:tcPr>
            <w:tcW w:w="4932" w:type="dxa"/>
            <w:tcBorders>
              <w:top w:val="nil"/>
              <w:left w:val="nil"/>
              <w:bottom w:val="double" w:sz="4" w:space="0" w:color="auto"/>
              <w:right w:val="nil"/>
            </w:tcBorders>
          </w:tcPr>
          <w:p w14:paraId="2FD02978" w14:textId="77777777" w:rsidR="009C4AE1" w:rsidRPr="00202B20" w:rsidRDefault="009C4AE1" w:rsidP="00BA7963">
            <w:pPr>
              <w:spacing w:line="340" w:lineRule="exact"/>
              <w:rPr>
                <w:rFonts w:ascii="Times New Roman" w:hAnsi="Times New Roman" w:cs="Times New Roman"/>
                <w:color w:val="000000" w:themeColor="text1"/>
                <w:sz w:val="24"/>
                <w:szCs w:val="24"/>
              </w:rPr>
            </w:pPr>
            <w:r w:rsidRPr="00202B20">
              <w:rPr>
                <w:rFonts w:ascii="Times New Roman" w:hAnsi="Times New Roman" w:cs="Times New Roman"/>
                <w:color w:val="000000" w:themeColor="text1"/>
                <w:sz w:val="24"/>
                <w:szCs w:val="24"/>
              </w:rPr>
              <w:t>SD</w:t>
            </w:r>
          </w:p>
        </w:tc>
        <w:tc>
          <w:tcPr>
            <w:tcW w:w="899" w:type="dxa"/>
            <w:tcBorders>
              <w:top w:val="nil"/>
              <w:left w:val="nil"/>
              <w:bottom w:val="double" w:sz="4" w:space="0" w:color="auto"/>
              <w:right w:val="nil"/>
            </w:tcBorders>
          </w:tcPr>
          <w:p w14:paraId="5FD3A90C"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1.49</w:t>
            </w:r>
          </w:p>
        </w:tc>
        <w:tc>
          <w:tcPr>
            <w:tcW w:w="899" w:type="dxa"/>
            <w:tcBorders>
              <w:top w:val="nil"/>
              <w:left w:val="nil"/>
              <w:bottom w:val="double" w:sz="4" w:space="0" w:color="auto"/>
              <w:right w:val="nil"/>
            </w:tcBorders>
          </w:tcPr>
          <w:p w14:paraId="56092400"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1.73</w:t>
            </w:r>
          </w:p>
        </w:tc>
        <w:tc>
          <w:tcPr>
            <w:tcW w:w="843" w:type="dxa"/>
            <w:tcBorders>
              <w:top w:val="nil"/>
              <w:left w:val="nil"/>
              <w:bottom w:val="double" w:sz="4" w:space="0" w:color="auto"/>
              <w:right w:val="nil"/>
            </w:tcBorders>
          </w:tcPr>
          <w:p w14:paraId="37B6EA65"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23.71</w:t>
            </w:r>
          </w:p>
        </w:tc>
        <w:tc>
          <w:tcPr>
            <w:tcW w:w="842" w:type="dxa"/>
            <w:tcBorders>
              <w:top w:val="nil"/>
              <w:left w:val="nil"/>
              <w:bottom w:val="double" w:sz="4" w:space="0" w:color="auto"/>
              <w:right w:val="nil"/>
            </w:tcBorders>
          </w:tcPr>
          <w:p w14:paraId="7F4AE8B9"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1.96</w:t>
            </w:r>
          </w:p>
        </w:tc>
        <w:tc>
          <w:tcPr>
            <w:tcW w:w="842" w:type="dxa"/>
            <w:tcBorders>
              <w:top w:val="nil"/>
              <w:left w:val="nil"/>
              <w:bottom w:val="double" w:sz="4" w:space="0" w:color="auto"/>
              <w:right w:val="nil"/>
            </w:tcBorders>
          </w:tcPr>
          <w:p w14:paraId="77CEFEB5"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0.26</w:t>
            </w:r>
          </w:p>
        </w:tc>
        <w:tc>
          <w:tcPr>
            <w:tcW w:w="842" w:type="dxa"/>
            <w:tcBorders>
              <w:top w:val="nil"/>
              <w:left w:val="nil"/>
              <w:bottom w:val="double" w:sz="4" w:space="0" w:color="auto"/>
              <w:right w:val="nil"/>
            </w:tcBorders>
          </w:tcPr>
          <w:p w14:paraId="5B0E6F8C"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21.85</w:t>
            </w:r>
          </w:p>
        </w:tc>
        <w:tc>
          <w:tcPr>
            <w:tcW w:w="842" w:type="dxa"/>
            <w:tcBorders>
              <w:top w:val="nil"/>
              <w:left w:val="nil"/>
              <w:bottom w:val="double" w:sz="4" w:space="0" w:color="auto"/>
              <w:right w:val="nil"/>
            </w:tcBorders>
          </w:tcPr>
          <w:p w14:paraId="53DA2932" w14:textId="77777777" w:rsidR="009C4AE1" w:rsidRDefault="009C4AE1" w:rsidP="00BA7963">
            <w:pPr>
              <w:rPr>
                <w:rFonts w:ascii="Times New Roman" w:hAnsi="Times New Roman" w:cs="Times New Roman"/>
                <w:sz w:val="24"/>
                <w:szCs w:val="24"/>
              </w:rPr>
            </w:pPr>
            <w:r w:rsidRPr="00FE145C">
              <w:rPr>
                <w:rFonts w:ascii="Times New Roman" w:hAnsi="Times New Roman" w:cs="Times New Roman"/>
              </w:rPr>
              <w:t>20.14</w:t>
            </w:r>
          </w:p>
        </w:tc>
        <w:tc>
          <w:tcPr>
            <w:tcW w:w="787" w:type="dxa"/>
            <w:tcBorders>
              <w:top w:val="nil"/>
              <w:left w:val="nil"/>
              <w:bottom w:val="double" w:sz="4" w:space="0" w:color="auto"/>
              <w:right w:val="nil"/>
            </w:tcBorders>
          </w:tcPr>
          <w:p w14:paraId="736B4D1C" w14:textId="77777777" w:rsidR="009C4AE1" w:rsidRDefault="009C4AE1" w:rsidP="00BA7963">
            <w:pPr>
              <w:rPr>
                <w:rFonts w:ascii="Times New Roman" w:hAnsi="Times New Roman" w:cs="Times New Roman"/>
                <w:sz w:val="24"/>
                <w:szCs w:val="24"/>
              </w:rPr>
            </w:pPr>
            <w:r>
              <w:rPr>
                <w:rFonts w:ascii="Times New Roman" w:hAnsi="Times New Roman" w:cs="Times New Roman"/>
              </w:rPr>
              <w:t>4</w:t>
            </w:r>
            <w:r w:rsidRPr="00FE145C">
              <w:rPr>
                <w:rFonts w:ascii="Times New Roman" w:hAnsi="Times New Roman" w:cs="Times New Roman"/>
              </w:rPr>
              <w:t>.12</w:t>
            </w:r>
          </w:p>
        </w:tc>
        <w:tc>
          <w:tcPr>
            <w:tcW w:w="716" w:type="dxa"/>
            <w:tcBorders>
              <w:top w:val="nil"/>
              <w:left w:val="nil"/>
              <w:bottom w:val="double" w:sz="4" w:space="0" w:color="auto"/>
              <w:right w:val="nil"/>
            </w:tcBorders>
          </w:tcPr>
          <w:p w14:paraId="767A253A" w14:textId="77777777" w:rsidR="009C4AE1" w:rsidRPr="00945111" w:rsidRDefault="009C4AE1" w:rsidP="00BA7963">
            <w:pPr>
              <w:rPr>
                <w:rFonts w:ascii="Times New Roman" w:hAnsi="Times New Roman" w:cs="Times New Roman"/>
                <w:sz w:val="24"/>
                <w:szCs w:val="24"/>
              </w:rPr>
            </w:pPr>
            <w:r>
              <w:rPr>
                <w:rFonts w:ascii="Times New Roman" w:hAnsi="Times New Roman" w:cs="Times New Roman"/>
              </w:rPr>
              <w:t>3</w:t>
            </w:r>
            <w:r w:rsidRPr="00FE145C">
              <w:rPr>
                <w:rFonts w:ascii="Times New Roman" w:hAnsi="Times New Roman" w:cs="Times New Roman"/>
              </w:rPr>
              <w:t>.27</w:t>
            </w:r>
          </w:p>
        </w:tc>
      </w:tr>
    </w:tbl>
    <w:p w14:paraId="77DB7028" w14:textId="77777777" w:rsidR="009C4AE1" w:rsidRDefault="009C4AE1" w:rsidP="009C4AE1">
      <w:pPr>
        <w:rPr>
          <w:rFonts w:ascii="Times New Roman" w:hAnsi="Times New Roman" w:cs="Times New Roman"/>
          <w:sz w:val="24"/>
          <w:szCs w:val="24"/>
          <w:lang w:val="en-GB"/>
        </w:rPr>
      </w:pPr>
      <w:r w:rsidRPr="007123C9">
        <w:rPr>
          <w:rFonts w:ascii="Times New Roman" w:hAnsi="Times New Roman" w:cs="Times New Roman"/>
          <w:sz w:val="24"/>
          <w:szCs w:val="24"/>
          <w:lang w:val="en-GB"/>
        </w:rPr>
        <w:t xml:space="preserve">Notes: </w:t>
      </w:r>
      <w:r w:rsidRPr="007123C9">
        <w:rPr>
          <w:rFonts w:ascii="Times New Roman" w:hAnsi="Times New Roman" w:cs="Times New Roman"/>
          <w:sz w:val="24"/>
          <w:szCs w:val="24"/>
          <w:vertAlign w:val="superscript"/>
          <w:lang w:val="en-GB"/>
        </w:rPr>
        <w:t>(1</w:t>
      </w:r>
      <w:proofErr w:type="gramStart"/>
      <w:r w:rsidRPr="007123C9">
        <w:rPr>
          <w:rFonts w:ascii="Times New Roman" w:hAnsi="Times New Roman" w:cs="Times New Roman"/>
          <w:sz w:val="24"/>
          <w:szCs w:val="24"/>
          <w:vertAlign w:val="superscript"/>
          <w:lang w:val="en-GB"/>
        </w:rPr>
        <w:t xml:space="preserve">)  </w:t>
      </w:r>
      <w:r w:rsidRPr="007123C9">
        <w:rPr>
          <w:rFonts w:ascii="Times New Roman" w:hAnsi="Times New Roman" w:cs="Times New Roman"/>
          <w:sz w:val="24"/>
          <w:szCs w:val="24"/>
          <w:lang w:val="en-GB"/>
        </w:rPr>
        <w:t>The</w:t>
      </w:r>
      <w:proofErr w:type="gramEnd"/>
      <w:r w:rsidRPr="007123C9">
        <w:rPr>
          <w:rFonts w:ascii="Times New Roman" w:hAnsi="Times New Roman" w:cs="Times New Roman"/>
          <w:sz w:val="24"/>
          <w:szCs w:val="24"/>
          <w:lang w:val="en-GB"/>
        </w:rPr>
        <w:t xml:space="preserve"> asymmetry variables show the value for the buyer and its top supplier respectively within the three-level framework before computing the decomposed variables through spline technique. </w:t>
      </w:r>
    </w:p>
    <w:p w14:paraId="386AAD9C" w14:textId="77777777" w:rsidR="009C4AE1" w:rsidRDefault="009C4AE1" w:rsidP="009C4AE1">
      <w:pPr>
        <w:rPr>
          <w:rFonts w:ascii="Times New Roman" w:hAnsi="Times New Roman" w:cs="Times New Roman"/>
          <w:sz w:val="24"/>
          <w:szCs w:val="24"/>
          <w:lang w:val="en-GB"/>
        </w:rPr>
      </w:pPr>
      <w:r w:rsidRPr="000C0BC5">
        <w:rPr>
          <w:rFonts w:ascii="Times New Roman" w:hAnsi="Times New Roman" w:cs="Times New Roman"/>
          <w:sz w:val="24"/>
          <w:szCs w:val="24"/>
          <w:lang w:val="en-GB"/>
        </w:rPr>
        <w:t>N=2,</w:t>
      </w:r>
      <w:r>
        <w:rPr>
          <w:rFonts w:ascii="Times New Roman" w:hAnsi="Times New Roman" w:cs="Times New Roman"/>
          <w:sz w:val="24"/>
          <w:szCs w:val="24"/>
          <w:lang w:val="en-GB"/>
        </w:rPr>
        <w:t>093</w:t>
      </w:r>
      <w:r w:rsidRPr="007123C9">
        <w:rPr>
          <w:rFonts w:ascii="Times New Roman" w:hAnsi="Times New Roman" w:cs="Times New Roman"/>
          <w:sz w:val="24"/>
          <w:szCs w:val="24"/>
          <w:lang w:val="en-GB"/>
        </w:rPr>
        <w:t xml:space="preserve"> observations. </w:t>
      </w:r>
    </w:p>
    <w:p w14:paraId="6F9315E8" w14:textId="6DA6F064" w:rsidR="009C4AE1" w:rsidRDefault="009C4AE1" w:rsidP="009C4AE1">
      <w:pPr>
        <w:spacing w:line="240" w:lineRule="auto"/>
        <w:rPr>
          <w:rFonts w:ascii="Times New Roman" w:hAnsi="Times New Roman" w:cs="Times New Roman"/>
          <w:b/>
          <w:sz w:val="24"/>
          <w:szCs w:val="24"/>
          <w:lang w:val="en-GB"/>
        </w:rPr>
      </w:pPr>
      <w:r>
        <w:rPr>
          <w:rFonts w:ascii="Times New Roman" w:hAnsi="Times New Roman" w:cs="Times New Roman"/>
          <w:sz w:val="24"/>
          <w:szCs w:val="24"/>
          <w:lang w:val="en-GB"/>
        </w:rPr>
        <w:t>* Statistical significance at 0.10 level</w:t>
      </w:r>
      <w:r w:rsidRPr="00567066">
        <w:rPr>
          <w:rFonts w:ascii="Times New Roman" w:hAnsi="Times New Roman" w:cs="Times New Roman"/>
          <w:sz w:val="24"/>
          <w:szCs w:val="24"/>
          <w:lang w:val="en-GB"/>
        </w:rPr>
        <w:t>.</w:t>
      </w:r>
      <w:r w:rsidRPr="007123C9">
        <w:rPr>
          <w:rFonts w:ascii="Times New Roman" w:hAnsi="Times New Roman" w:cs="Times New Roman"/>
          <w:b/>
          <w:sz w:val="24"/>
          <w:szCs w:val="24"/>
          <w:lang w:val="en-GB"/>
        </w:rPr>
        <w:t xml:space="preserve"> </w:t>
      </w:r>
    </w:p>
    <w:p w14:paraId="78BC561F" w14:textId="77777777" w:rsidR="009C4AE1" w:rsidRPr="000276E5" w:rsidRDefault="009C4AE1" w:rsidP="009C4AE1">
      <w:pPr>
        <w:rPr>
          <w:rFonts w:ascii="Times New Roman" w:hAnsi="Times New Roman" w:cs="Times New Roman"/>
          <w:b/>
          <w:sz w:val="24"/>
          <w:szCs w:val="24"/>
          <w:lang w:val="en-GB"/>
        </w:rPr>
      </w:pPr>
    </w:p>
    <w:p w14:paraId="6C40D261" w14:textId="77777777" w:rsidR="009C4AE1" w:rsidRDefault="009C4AE1" w:rsidP="009C4AE1">
      <w:pPr>
        <w:rPr>
          <w:rFonts w:ascii="Times New Roman" w:hAnsi="Times New Roman" w:cs="Times New Roman"/>
          <w:b/>
          <w:sz w:val="24"/>
          <w:szCs w:val="24"/>
          <w:lang w:val="en-US"/>
        </w:rPr>
        <w:sectPr w:rsidR="009C4AE1" w:rsidSect="00BA7963">
          <w:pgSz w:w="16838" w:h="11906" w:orient="landscape"/>
          <w:pgMar w:top="1584" w:right="1411" w:bottom="1440" w:left="1411" w:header="706" w:footer="706" w:gutter="0"/>
          <w:cols w:space="708"/>
          <w:docGrid w:linePitch="360"/>
        </w:sectPr>
      </w:pPr>
    </w:p>
    <w:p w14:paraId="0DD3BB78" w14:textId="44681991" w:rsidR="009C4AE1" w:rsidRDefault="009C4AE1" w:rsidP="009C4AE1">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w:t>
      </w:r>
      <w:r w:rsidRPr="00857E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3 </w:t>
      </w:r>
    </w:p>
    <w:p w14:paraId="0ECB912F" w14:textId="77777777" w:rsidR="009C4AE1" w:rsidRPr="00FB2690" w:rsidRDefault="009C4AE1" w:rsidP="009C4AE1">
      <w:pPr>
        <w:rPr>
          <w:rFonts w:ascii="Times New Roman" w:hAnsi="Times New Roman" w:cs="Times New Roman"/>
          <w:sz w:val="24"/>
          <w:szCs w:val="24"/>
          <w:lang w:val="en-US"/>
        </w:rPr>
      </w:pPr>
      <w:r>
        <w:rPr>
          <w:rFonts w:ascii="Times New Roman" w:hAnsi="Times New Roman" w:cs="Times New Roman"/>
          <w:sz w:val="24"/>
          <w:szCs w:val="24"/>
          <w:lang w:val="en-US"/>
        </w:rPr>
        <w:t>Panel f</w:t>
      </w:r>
      <w:r w:rsidRPr="00FB2690">
        <w:rPr>
          <w:rFonts w:ascii="Times New Roman" w:hAnsi="Times New Roman" w:cs="Times New Roman"/>
          <w:sz w:val="24"/>
          <w:szCs w:val="24"/>
          <w:lang w:val="en-US"/>
        </w:rPr>
        <w:t>ix</w:t>
      </w:r>
      <w:r>
        <w:rPr>
          <w:rFonts w:ascii="Times New Roman" w:hAnsi="Times New Roman" w:cs="Times New Roman"/>
          <w:sz w:val="24"/>
          <w:szCs w:val="24"/>
          <w:lang w:val="en-US"/>
        </w:rPr>
        <w:t>ed-effect regression analysis</w:t>
      </w:r>
      <w:r w:rsidRPr="00FB2690">
        <w:rPr>
          <w:rFonts w:ascii="Times New Roman" w:hAnsi="Times New Roman" w:cs="Times New Roman"/>
          <w:sz w:val="24"/>
          <w:szCs w:val="24"/>
          <w:lang w:val="en-US"/>
        </w:rPr>
        <w:t xml:space="preserve"> for buyer’s performance (2011-201</w:t>
      </w:r>
      <w:r>
        <w:rPr>
          <w:rFonts w:ascii="Times New Roman" w:hAnsi="Times New Roman" w:cs="Times New Roman"/>
          <w:sz w:val="24"/>
          <w:szCs w:val="24"/>
          <w:lang w:val="en-US"/>
        </w:rPr>
        <w:t>8</w:t>
      </w:r>
      <w:r w:rsidRPr="00FB2690">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FB2690">
        <w:rPr>
          <w:rFonts w:ascii="Times New Roman" w:hAnsi="Times New Roman" w:cs="Times New Roman"/>
          <w:sz w:val="24"/>
          <w:szCs w:val="24"/>
          <w:lang w:val="en-US"/>
        </w:rPr>
        <w:t>uyer</w:t>
      </w:r>
      <w:r>
        <w:rPr>
          <w:rFonts w:ascii="Times New Roman" w:hAnsi="Times New Roman" w:cs="Times New Roman"/>
          <w:sz w:val="24"/>
          <w:szCs w:val="24"/>
          <w:lang w:val="en-US"/>
        </w:rPr>
        <w:t>-</w:t>
      </w:r>
      <w:r w:rsidRPr="00FB2690">
        <w:rPr>
          <w:rFonts w:ascii="Times New Roman" w:hAnsi="Times New Roman" w:cs="Times New Roman"/>
          <w:sz w:val="24"/>
          <w:szCs w:val="24"/>
          <w:lang w:val="en-US"/>
        </w:rPr>
        <w:t xml:space="preserve">supplier environmental &amp; social sustainability asymmetries </w:t>
      </w:r>
      <w:r>
        <w:rPr>
          <w:rFonts w:ascii="Times New Roman" w:hAnsi="Times New Roman" w:cs="Times New Roman"/>
          <w:sz w:val="24"/>
          <w:szCs w:val="24"/>
          <w:lang w:val="en-US"/>
        </w:rPr>
        <w:t>(degree).</w:t>
      </w:r>
    </w:p>
    <w:tbl>
      <w:tblPr>
        <w:tblW w:w="5028" w:type="pct"/>
        <w:tblLayout w:type="fixed"/>
        <w:tblCellMar>
          <w:left w:w="75" w:type="dxa"/>
          <w:right w:w="75" w:type="dxa"/>
        </w:tblCellMar>
        <w:tblLook w:val="0000" w:firstRow="0" w:lastRow="0" w:firstColumn="0" w:lastColumn="0" w:noHBand="0" w:noVBand="0"/>
      </w:tblPr>
      <w:tblGrid>
        <w:gridCol w:w="4225"/>
        <w:gridCol w:w="170"/>
        <w:gridCol w:w="1275"/>
        <w:gridCol w:w="993"/>
        <w:gridCol w:w="1306"/>
        <w:gridCol w:w="963"/>
      </w:tblGrid>
      <w:tr w:rsidR="009C4AE1" w:rsidRPr="00842264" w14:paraId="2858E5ED" w14:textId="77777777" w:rsidTr="00BA7963">
        <w:tc>
          <w:tcPr>
            <w:tcW w:w="2365" w:type="pct"/>
            <w:tcBorders>
              <w:top w:val="single" w:sz="4" w:space="0" w:color="auto"/>
              <w:left w:val="nil"/>
              <w:right w:val="nil"/>
            </w:tcBorders>
          </w:tcPr>
          <w:p w14:paraId="328D8075"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p>
        </w:tc>
        <w:tc>
          <w:tcPr>
            <w:tcW w:w="1365" w:type="pct"/>
            <w:gridSpan w:val="3"/>
            <w:tcBorders>
              <w:top w:val="single" w:sz="4" w:space="0" w:color="auto"/>
              <w:left w:val="nil"/>
              <w:bottom w:val="single" w:sz="4" w:space="0" w:color="auto"/>
              <w:right w:val="nil"/>
            </w:tcBorders>
          </w:tcPr>
          <w:p w14:paraId="7985CDCF" w14:textId="77777777" w:rsidR="009C4AE1" w:rsidRPr="00B17E1A" w:rsidRDefault="009C4AE1" w:rsidP="00BA7963">
            <w:pPr>
              <w:widowControl w:val="0"/>
              <w:autoSpaceDE w:val="0"/>
              <w:autoSpaceDN w:val="0"/>
              <w:adjustRightInd w:val="0"/>
              <w:spacing w:after="0" w:line="360" w:lineRule="auto"/>
              <w:jc w:val="center"/>
              <w:rPr>
                <w:rFonts w:ascii="Times New Roman" w:hAnsi="Times New Roman" w:cs="Times New Roman"/>
                <w:sz w:val="24"/>
                <w:szCs w:val="24"/>
              </w:rPr>
            </w:pPr>
            <w:r w:rsidRPr="00B17E1A">
              <w:rPr>
                <w:rFonts w:ascii="Times New Roman" w:hAnsi="Times New Roman" w:cs="Times New Roman"/>
                <w:sz w:val="24"/>
                <w:szCs w:val="24"/>
              </w:rPr>
              <w:t>ROA</w:t>
            </w:r>
          </w:p>
        </w:tc>
        <w:tc>
          <w:tcPr>
            <w:tcW w:w="1270" w:type="pct"/>
            <w:gridSpan w:val="2"/>
            <w:tcBorders>
              <w:top w:val="single" w:sz="6" w:space="0" w:color="auto"/>
              <w:left w:val="nil"/>
              <w:bottom w:val="single" w:sz="4" w:space="0" w:color="auto"/>
              <w:right w:val="nil"/>
            </w:tcBorders>
          </w:tcPr>
          <w:p w14:paraId="1D357F14" w14:textId="6458E498" w:rsidR="009C4AE1" w:rsidRDefault="009C4AE1" w:rsidP="00BA7963">
            <w:pPr>
              <w:widowControl w:val="0"/>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TOBIN</w:t>
            </w:r>
            <w:r w:rsidR="00707F8A">
              <w:rPr>
                <w:rFonts w:ascii="Times New Roman" w:hAnsi="Times New Roman" w:cs="Times New Roman"/>
                <w:sz w:val="24"/>
                <w:szCs w:val="24"/>
              </w:rPr>
              <w:t>’</w:t>
            </w:r>
            <w:r>
              <w:rPr>
                <w:rFonts w:ascii="Times New Roman" w:hAnsi="Times New Roman" w:cs="Times New Roman"/>
                <w:sz w:val="24"/>
                <w:szCs w:val="24"/>
              </w:rPr>
              <w:t>S</w:t>
            </w:r>
            <w:r w:rsidR="00707F8A">
              <w:rPr>
                <w:rFonts w:ascii="Times New Roman" w:hAnsi="Times New Roman" w:cs="Times New Roman"/>
                <w:sz w:val="24"/>
                <w:szCs w:val="24"/>
              </w:rPr>
              <w:t xml:space="preserve"> </w:t>
            </w:r>
            <w:r>
              <w:rPr>
                <w:rFonts w:ascii="Times New Roman" w:hAnsi="Times New Roman" w:cs="Times New Roman"/>
                <w:sz w:val="24"/>
                <w:szCs w:val="24"/>
              </w:rPr>
              <w:t>Q</w:t>
            </w:r>
          </w:p>
        </w:tc>
      </w:tr>
      <w:tr w:rsidR="009C4AE1" w:rsidRPr="00842264" w14:paraId="4D52D863" w14:textId="77777777" w:rsidTr="00BA7963">
        <w:tc>
          <w:tcPr>
            <w:tcW w:w="2460" w:type="pct"/>
            <w:gridSpan w:val="2"/>
            <w:tcBorders>
              <w:left w:val="nil"/>
              <w:right w:val="nil"/>
            </w:tcBorders>
          </w:tcPr>
          <w:p w14:paraId="75798FC2"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Variables</w:t>
            </w:r>
          </w:p>
        </w:tc>
        <w:tc>
          <w:tcPr>
            <w:tcW w:w="1270" w:type="pct"/>
            <w:gridSpan w:val="2"/>
            <w:tcBorders>
              <w:top w:val="single" w:sz="6" w:space="0" w:color="auto"/>
              <w:left w:val="nil"/>
              <w:bottom w:val="nil"/>
              <w:right w:val="nil"/>
            </w:tcBorders>
          </w:tcPr>
          <w:p w14:paraId="538CFD70" w14:textId="77777777" w:rsidR="009C4AE1" w:rsidRPr="00B17E1A" w:rsidRDefault="009C4AE1" w:rsidP="00BA7963">
            <w:pPr>
              <w:widowControl w:val="0"/>
              <w:autoSpaceDE w:val="0"/>
              <w:autoSpaceDN w:val="0"/>
              <w:adjustRightInd w:val="0"/>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Model</w:t>
            </w:r>
            <w:proofErr w:type="spellEnd"/>
            <w:r>
              <w:rPr>
                <w:rFonts w:ascii="Times New Roman" w:hAnsi="Times New Roman" w:cs="Times New Roman"/>
                <w:sz w:val="24"/>
                <w:szCs w:val="24"/>
              </w:rPr>
              <w:t xml:space="preserve"> 1</w:t>
            </w:r>
          </w:p>
        </w:tc>
        <w:tc>
          <w:tcPr>
            <w:tcW w:w="1270" w:type="pct"/>
            <w:gridSpan w:val="2"/>
            <w:tcBorders>
              <w:top w:val="single" w:sz="6" w:space="0" w:color="auto"/>
              <w:left w:val="nil"/>
              <w:bottom w:val="nil"/>
            </w:tcBorders>
          </w:tcPr>
          <w:p w14:paraId="62E3842F" w14:textId="77777777" w:rsidR="009C4AE1" w:rsidRDefault="009C4AE1" w:rsidP="00BA7963">
            <w:pPr>
              <w:widowControl w:val="0"/>
              <w:autoSpaceDE w:val="0"/>
              <w:autoSpaceDN w:val="0"/>
              <w:adjustRightInd w:val="0"/>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Model</w:t>
            </w:r>
            <w:proofErr w:type="spellEnd"/>
            <w:r>
              <w:rPr>
                <w:rFonts w:ascii="Times New Roman" w:hAnsi="Times New Roman" w:cs="Times New Roman"/>
                <w:sz w:val="24"/>
                <w:szCs w:val="24"/>
              </w:rPr>
              <w:t xml:space="preserve"> 2</w:t>
            </w:r>
          </w:p>
        </w:tc>
      </w:tr>
      <w:tr w:rsidR="009C4AE1" w:rsidRPr="00842264" w14:paraId="5BC1B66C" w14:textId="77777777" w:rsidTr="00BA7963">
        <w:tc>
          <w:tcPr>
            <w:tcW w:w="2460" w:type="pct"/>
            <w:gridSpan w:val="2"/>
            <w:tcBorders>
              <w:top w:val="nil"/>
              <w:left w:val="nil"/>
              <w:bottom w:val="single" w:sz="4" w:space="0" w:color="auto"/>
              <w:right w:val="nil"/>
            </w:tcBorders>
          </w:tcPr>
          <w:p w14:paraId="7E443B95"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rPr>
            </w:pPr>
          </w:p>
        </w:tc>
        <w:tc>
          <w:tcPr>
            <w:tcW w:w="714" w:type="pct"/>
            <w:tcBorders>
              <w:top w:val="nil"/>
              <w:left w:val="nil"/>
              <w:bottom w:val="single" w:sz="6" w:space="0" w:color="auto"/>
              <w:right w:val="nil"/>
            </w:tcBorders>
          </w:tcPr>
          <w:p w14:paraId="1AAEB95E" w14:textId="77777777" w:rsidR="009C4AE1" w:rsidRPr="00B17E1A" w:rsidRDefault="009C4AE1" w:rsidP="00BA7963">
            <w:pPr>
              <w:widowControl w:val="0"/>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Coef</w:t>
            </w:r>
            <w:proofErr w:type="spellEnd"/>
            <w:r>
              <w:rPr>
                <w:rFonts w:ascii="Times New Roman" w:hAnsi="Times New Roman" w:cs="Times New Roman"/>
                <w:sz w:val="24"/>
                <w:szCs w:val="24"/>
              </w:rPr>
              <w:t>.</w:t>
            </w:r>
          </w:p>
        </w:tc>
        <w:tc>
          <w:tcPr>
            <w:tcW w:w="556" w:type="pct"/>
            <w:tcBorders>
              <w:top w:val="nil"/>
              <w:left w:val="nil"/>
              <w:bottom w:val="single" w:sz="6" w:space="0" w:color="auto"/>
              <w:right w:val="nil"/>
            </w:tcBorders>
          </w:tcPr>
          <w:p w14:paraId="3C0A16E7" w14:textId="77777777" w:rsidR="009C4AE1" w:rsidRPr="00B17E1A"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Std Err.</w:t>
            </w:r>
          </w:p>
        </w:tc>
        <w:tc>
          <w:tcPr>
            <w:tcW w:w="731" w:type="pct"/>
            <w:tcBorders>
              <w:top w:val="nil"/>
              <w:left w:val="nil"/>
              <w:bottom w:val="single" w:sz="6" w:space="0" w:color="auto"/>
              <w:right w:val="nil"/>
            </w:tcBorders>
          </w:tcPr>
          <w:p w14:paraId="6A1D67E5" w14:textId="77777777" w:rsidR="009C4AE1" w:rsidRPr="00B17E1A" w:rsidRDefault="009C4AE1" w:rsidP="00BA7963">
            <w:pPr>
              <w:widowControl w:val="0"/>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Coef</w:t>
            </w:r>
            <w:proofErr w:type="spellEnd"/>
            <w:r>
              <w:rPr>
                <w:rFonts w:ascii="Times New Roman" w:hAnsi="Times New Roman" w:cs="Times New Roman"/>
                <w:sz w:val="24"/>
                <w:szCs w:val="24"/>
              </w:rPr>
              <w:t>.</w:t>
            </w:r>
          </w:p>
        </w:tc>
        <w:tc>
          <w:tcPr>
            <w:tcW w:w="539" w:type="pct"/>
            <w:tcBorders>
              <w:top w:val="nil"/>
              <w:left w:val="nil"/>
              <w:bottom w:val="single" w:sz="6" w:space="0" w:color="auto"/>
              <w:right w:val="nil"/>
            </w:tcBorders>
          </w:tcPr>
          <w:p w14:paraId="05279D14" w14:textId="77777777" w:rsidR="009C4AE1" w:rsidRPr="00B17E1A"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Std Err.</w:t>
            </w:r>
          </w:p>
        </w:tc>
      </w:tr>
      <w:tr w:rsidR="009C4AE1" w:rsidRPr="00675299" w14:paraId="593D72D5" w14:textId="77777777" w:rsidTr="00BA7963">
        <w:tc>
          <w:tcPr>
            <w:tcW w:w="2460" w:type="pct"/>
            <w:gridSpan w:val="2"/>
            <w:tcBorders>
              <w:top w:val="nil"/>
              <w:left w:val="nil"/>
              <w:bottom w:val="nil"/>
              <w:right w:val="nil"/>
            </w:tcBorders>
          </w:tcPr>
          <w:p w14:paraId="318022E1"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Emissions reduction asymmetry (degree)</w:t>
            </w:r>
          </w:p>
        </w:tc>
        <w:tc>
          <w:tcPr>
            <w:tcW w:w="714" w:type="pct"/>
            <w:tcBorders>
              <w:top w:val="nil"/>
              <w:left w:val="nil"/>
              <w:bottom w:val="nil"/>
              <w:right w:val="nil"/>
            </w:tcBorders>
          </w:tcPr>
          <w:p w14:paraId="1BC6DCD2"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-0.0086**</w:t>
            </w:r>
          </w:p>
        </w:tc>
        <w:tc>
          <w:tcPr>
            <w:tcW w:w="556" w:type="pct"/>
            <w:tcBorders>
              <w:top w:val="nil"/>
              <w:left w:val="nil"/>
              <w:bottom w:val="nil"/>
              <w:right w:val="nil"/>
            </w:tcBorders>
          </w:tcPr>
          <w:p w14:paraId="371217EA"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(0.004)</w:t>
            </w:r>
          </w:p>
        </w:tc>
        <w:tc>
          <w:tcPr>
            <w:tcW w:w="731" w:type="pct"/>
            <w:tcBorders>
              <w:top w:val="nil"/>
              <w:left w:val="nil"/>
              <w:bottom w:val="nil"/>
              <w:right w:val="nil"/>
            </w:tcBorders>
          </w:tcPr>
          <w:p w14:paraId="4C2C4B9E"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-0.1296***</w:t>
            </w:r>
          </w:p>
        </w:tc>
        <w:tc>
          <w:tcPr>
            <w:tcW w:w="539" w:type="pct"/>
            <w:tcBorders>
              <w:top w:val="nil"/>
              <w:left w:val="nil"/>
              <w:bottom w:val="nil"/>
              <w:right w:val="nil"/>
            </w:tcBorders>
          </w:tcPr>
          <w:p w14:paraId="5A5DBD8B"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(0.033)</w:t>
            </w:r>
          </w:p>
        </w:tc>
      </w:tr>
      <w:tr w:rsidR="009C4AE1" w:rsidRPr="00675299" w14:paraId="1433E855" w14:textId="77777777" w:rsidTr="00BA7963">
        <w:tc>
          <w:tcPr>
            <w:tcW w:w="2460" w:type="pct"/>
            <w:gridSpan w:val="2"/>
            <w:tcBorders>
              <w:top w:val="nil"/>
              <w:left w:val="nil"/>
              <w:bottom w:val="nil"/>
              <w:right w:val="nil"/>
            </w:tcBorders>
          </w:tcPr>
          <w:p w14:paraId="256B4074"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Resource reduction asymmetry (degree)</w:t>
            </w:r>
          </w:p>
        </w:tc>
        <w:tc>
          <w:tcPr>
            <w:tcW w:w="714" w:type="pct"/>
            <w:tcBorders>
              <w:top w:val="nil"/>
              <w:left w:val="nil"/>
              <w:bottom w:val="nil"/>
              <w:right w:val="nil"/>
            </w:tcBorders>
          </w:tcPr>
          <w:p w14:paraId="1E946B46"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0.0034*</w:t>
            </w:r>
          </w:p>
        </w:tc>
        <w:tc>
          <w:tcPr>
            <w:tcW w:w="556" w:type="pct"/>
            <w:tcBorders>
              <w:top w:val="nil"/>
              <w:left w:val="nil"/>
              <w:bottom w:val="nil"/>
              <w:right w:val="nil"/>
            </w:tcBorders>
          </w:tcPr>
          <w:p w14:paraId="3EE41AB2"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(0.002)</w:t>
            </w:r>
          </w:p>
        </w:tc>
        <w:tc>
          <w:tcPr>
            <w:tcW w:w="731" w:type="pct"/>
            <w:tcBorders>
              <w:top w:val="nil"/>
              <w:left w:val="nil"/>
              <w:bottom w:val="nil"/>
              <w:right w:val="nil"/>
            </w:tcBorders>
          </w:tcPr>
          <w:p w14:paraId="4FE0F654"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-0.0137</w:t>
            </w:r>
          </w:p>
        </w:tc>
        <w:tc>
          <w:tcPr>
            <w:tcW w:w="539" w:type="pct"/>
            <w:tcBorders>
              <w:top w:val="nil"/>
              <w:left w:val="nil"/>
              <w:bottom w:val="nil"/>
              <w:right w:val="nil"/>
            </w:tcBorders>
          </w:tcPr>
          <w:p w14:paraId="0456E24A"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(0.023)</w:t>
            </w:r>
          </w:p>
        </w:tc>
      </w:tr>
      <w:tr w:rsidR="009C4AE1" w:rsidRPr="00675299" w14:paraId="3D86DD6B" w14:textId="77777777" w:rsidTr="00BA7963">
        <w:tc>
          <w:tcPr>
            <w:tcW w:w="2460" w:type="pct"/>
            <w:gridSpan w:val="2"/>
            <w:tcBorders>
              <w:top w:val="nil"/>
              <w:left w:val="nil"/>
              <w:bottom w:val="nil"/>
              <w:right w:val="nil"/>
            </w:tcBorders>
          </w:tcPr>
          <w:p w14:paraId="2664C83E"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sidRPr="00675299">
              <w:rPr>
                <w:rFonts w:ascii="Times New Roman" w:hAnsi="Times New Roman" w:cs="Times New Roman"/>
                <w:sz w:val="24"/>
                <w:szCs w:val="24"/>
                <w:lang w:val="en-GB"/>
              </w:rPr>
              <w:t xml:space="preserve">Health &amp; safety asymmetry </w:t>
            </w:r>
            <w:r>
              <w:rPr>
                <w:rFonts w:ascii="Times New Roman" w:hAnsi="Times New Roman" w:cs="Times New Roman"/>
                <w:sz w:val="24"/>
                <w:szCs w:val="24"/>
                <w:lang w:val="en-US"/>
              </w:rPr>
              <w:t>(degree)</w:t>
            </w:r>
          </w:p>
        </w:tc>
        <w:tc>
          <w:tcPr>
            <w:tcW w:w="714" w:type="pct"/>
            <w:tcBorders>
              <w:top w:val="nil"/>
              <w:left w:val="nil"/>
              <w:bottom w:val="nil"/>
              <w:right w:val="nil"/>
            </w:tcBorders>
          </w:tcPr>
          <w:p w14:paraId="0362B151"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0.0059*</w:t>
            </w:r>
          </w:p>
        </w:tc>
        <w:tc>
          <w:tcPr>
            <w:tcW w:w="556" w:type="pct"/>
            <w:tcBorders>
              <w:top w:val="nil"/>
              <w:left w:val="nil"/>
              <w:bottom w:val="nil"/>
              <w:right w:val="nil"/>
            </w:tcBorders>
          </w:tcPr>
          <w:p w14:paraId="7C392C24"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(0.003)</w:t>
            </w:r>
          </w:p>
        </w:tc>
        <w:tc>
          <w:tcPr>
            <w:tcW w:w="731" w:type="pct"/>
            <w:tcBorders>
              <w:top w:val="nil"/>
              <w:left w:val="nil"/>
              <w:bottom w:val="nil"/>
              <w:right w:val="nil"/>
            </w:tcBorders>
          </w:tcPr>
          <w:p w14:paraId="385F585D"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-0.0033</w:t>
            </w:r>
          </w:p>
        </w:tc>
        <w:tc>
          <w:tcPr>
            <w:tcW w:w="539" w:type="pct"/>
            <w:tcBorders>
              <w:top w:val="nil"/>
              <w:left w:val="nil"/>
              <w:bottom w:val="nil"/>
              <w:right w:val="nil"/>
            </w:tcBorders>
          </w:tcPr>
          <w:p w14:paraId="3CCDC838"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(0.027)</w:t>
            </w:r>
          </w:p>
        </w:tc>
      </w:tr>
      <w:tr w:rsidR="009C4AE1" w:rsidRPr="00675299" w14:paraId="013B4AA9" w14:textId="77777777" w:rsidTr="00BA7963">
        <w:tc>
          <w:tcPr>
            <w:tcW w:w="2460" w:type="pct"/>
            <w:gridSpan w:val="2"/>
            <w:tcBorders>
              <w:top w:val="nil"/>
              <w:left w:val="nil"/>
              <w:bottom w:val="nil"/>
              <w:right w:val="nil"/>
            </w:tcBorders>
          </w:tcPr>
          <w:p w14:paraId="79E919E0"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Human right asymmetry (degree)</w:t>
            </w:r>
          </w:p>
        </w:tc>
        <w:tc>
          <w:tcPr>
            <w:tcW w:w="714" w:type="pct"/>
            <w:tcBorders>
              <w:top w:val="nil"/>
              <w:left w:val="nil"/>
              <w:bottom w:val="nil"/>
              <w:right w:val="nil"/>
            </w:tcBorders>
          </w:tcPr>
          <w:p w14:paraId="7E929591"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-0.0027</w:t>
            </w:r>
          </w:p>
        </w:tc>
        <w:tc>
          <w:tcPr>
            <w:tcW w:w="556" w:type="pct"/>
            <w:tcBorders>
              <w:top w:val="nil"/>
              <w:left w:val="nil"/>
              <w:bottom w:val="nil"/>
              <w:right w:val="nil"/>
            </w:tcBorders>
          </w:tcPr>
          <w:p w14:paraId="5880CACB"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(0.004)</w:t>
            </w:r>
          </w:p>
        </w:tc>
        <w:tc>
          <w:tcPr>
            <w:tcW w:w="731" w:type="pct"/>
            <w:tcBorders>
              <w:top w:val="nil"/>
              <w:left w:val="nil"/>
              <w:bottom w:val="nil"/>
              <w:right w:val="nil"/>
            </w:tcBorders>
          </w:tcPr>
          <w:p w14:paraId="5FF0B5F8"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0.0000</w:t>
            </w:r>
          </w:p>
        </w:tc>
        <w:tc>
          <w:tcPr>
            <w:tcW w:w="539" w:type="pct"/>
            <w:tcBorders>
              <w:top w:val="nil"/>
              <w:left w:val="nil"/>
              <w:bottom w:val="nil"/>
              <w:right w:val="nil"/>
            </w:tcBorders>
          </w:tcPr>
          <w:p w14:paraId="3081DE56"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(0.029)</w:t>
            </w:r>
          </w:p>
        </w:tc>
      </w:tr>
      <w:tr w:rsidR="009C4AE1" w:rsidRPr="00842264" w14:paraId="7D39020A" w14:textId="77777777" w:rsidTr="00BA7963">
        <w:tc>
          <w:tcPr>
            <w:tcW w:w="2460" w:type="pct"/>
            <w:gridSpan w:val="2"/>
            <w:tcBorders>
              <w:top w:val="nil"/>
              <w:left w:val="nil"/>
              <w:bottom w:val="nil"/>
              <w:right w:val="nil"/>
            </w:tcBorders>
          </w:tcPr>
          <w:p w14:paraId="5AABD876"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sidRPr="00842264">
              <w:rPr>
                <w:rFonts w:ascii="Times New Roman" w:hAnsi="Times New Roman" w:cs="Times New Roman"/>
                <w:sz w:val="24"/>
                <w:szCs w:val="24"/>
                <w:lang w:val="en-US"/>
              </w:rPr>
              <w:t>Buyer size</w:t>
            </w:r>
          </w:p>
        </w:tc>
        <w:tc>
          <w:tcPr>
            <w:tcW w:w="714" w:type="pct"/>
            <w:tcBorders>
              <w:top w:val="nil"/>
              <w:left w:val="nil"/>
              <w:bottom w:val="nil"/>
              <w:right w:val="nil"/>
            </w:tcBorders>
          </w:tcPr>
          <w:p w14:paraId="0D9C0103"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0.0369***</w:t>
            </w:r>
          </w:p>
        </w:tc>
        <w:tc>
          <w:tcPr>
            <w:tcW w:w="556" w:type="pct"/>
            <w:tcBorders>
              <w:top w:val="nil"/>
              <w:left w:val="nil"/>
              <w:bottom w:val="nil"/>
              <w:right w:val="nil"/>
            </w:tcBorders>
          </w:tcPr>
          <w:p w14:paraId="34DF7C60"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(0.012)</w:t>
            </w:r>
          </w:p>
        </w:tc>
        <w:tc>
          <w:tcPr>
            <w:tcW w:w="731" w:type="pct"/>
            <w:tcBorders>
              <w:top w:val="nil"/>
              <w:left w:val="nil"/>
              <w:bottom w:val="nil"/>
              <w:right w:val="nil"/>
            </w:tcBorders>
          </w:tcPr>
          <w:p w14:paraId="7CB32FC2"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0.3209**</w:t>
            </w:r>
          </w:p>
        </w:tc>
        <w:tc>
          <w:tcPr>
            <w:tcW w:w="539" w:type="pct"/>
            <w:tcBorders>
              <w:top w:val="nil"/>
              <w:left w:val="nil"/>
              <w:bottom w:val="nil"/>
              <w:right w:val="nil"/>
            </w:tcBorders>
          </w:tcPr>
          <w:p w14:paraId="013C3139"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(0.139)</w:t>
            </w:r>
          </w:p>
        </w:tc>
      </w:tr>
      <w:tr w:rsidR="009C4AE1" w:rsidRPr="00842264" w14:paraId="57C44BD1" w14:textId="77777777" w:rsidTr="00BA7963">
        <w:tc>
          <w:tcPr>
            <w:tcW w:w="2460" w:type="pct"/>
            <w:gridSpan w:val="2"/>
            <w:tcBorders>
              <w:top w:val="nil"/>
              <w:left w:val="nil"/>
              <w:bottom w:val="nil"/>
              <w:right w:val="nil"/>
            </w:tcBorders>
          </w:tcPr>
          <w:p w14:paraId="0F102B87"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sidRPr="00842264">
              <w:rPr>
                <w:rFonts w:ascii="Times New Roman" w:hAnsi="Times New Roman" w:cs="Times New Roman"/>
                <w:sz w:val="24"/>
                <w:szCs w:val="24"/>
                <w:lang w:val="en-US"/>
              </w:rPr>
              <w:t>Buye</w:t>
            </w:r>
            <w:r>
              <w:rPr>
                <w:rFonts w:ascii="Times New Roman" w:hAnsi="Times New Roman" w:cs="Times New Roman"/>
                <w:sz w:val="24"/>
                <w:szCs w:val="24"/>
                <w:lang w:val="en-US"/>
              </w:rPr>
              <w:t>r</w:t>
            </w:r>
            <w:r w:rsidRPr="00842264">
              <w:rPr>
                <w:rFonts w:ascii="Times New Roman" w:hAnsi="Times New Roman" w:cs="Times New Roman"/>
                <w:sz w:val="24"/>
                <w:szCs w:val="24"/>
                <w:lang w:val="en-US"/>
              </w:rPr>
              <w:t xml:space="preserve"> leverage</w:t>
            </w:r>
          </w:p>
        </w:tc>
        <w:tc>
          <w:tcPr>
            <w:tcW w:w="714" w:type="pct"/>
            <w:tcBorders>
              <w:top w:val="nil"/>
              <w:left w:val="nil"/>
              <w:bottom w:val="nil"/>
              <w:right w:val="nil"/>
            </w:tcBorders>
          </w:tcPr>
          <w:p w14:paraId="7A629CA7"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0.0008</w:t>
            </w:r>
          </w:p>
        </w:tc>
        <w:tc>
          <w:tcPr>
            <w:tcW w:w="556" w:type="pct"/>
            <w:tcBorders>
              <w:top w:val="nil"/>
              <w:left w:val="nil"/>
              <w:bottom w:val="nil"/>
              <w:right w:val="nil"/>
            </w:tcBorders>
          </w:tcPr>
          <w:p w14:paraId="34209EDE"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(0.002)</w:t>
            </w:r>
          </w:p>
        </w:tc>
        <w:tc>
          <w:tcPr>
            <w:tcW w:w="731" w:type="pct"/>
            <w:tcBorders>
              <w:top w:val="nil"/>
              <w:left w:val="nil"/>
              <w:bottom w:val="nil"/>
              <w:right w:val="nil"/>
            </w:tcBorders>
          </w:tcPr>
          <w:p w14:paraId="627B6936"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80709E">
              <w:rPr>
                <w:rFonts w:ascii="Times New Roman" w:hAnsi="Times New Roman" w:cs="Times New Roman"/>
                <w:sz w:val="24"/>
                <w:szCs w:val="24"/>
              </w:rPr>
              <w:t>0.0070</w:t>
            </w:r>
          </w:p>
        </w:tc>
        <w:tc>
          <w:tcPr>
            <w:tcW w:w="539" w:type="pct"/>
            <w:tcBorders>
              <w:top w:val="nil"/>
              <w:left w:val="nil"/>
              <w:bottom w:val="nil"/>
              <w:right w:val="nil"/>
            </w:tcBorders>
          </w:tcPr>
          <w:p w14:paraId="33803028"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(0.013)</w:t>
            </w:r>
          </w:p>
        </w:tc>
      </w:tr>
      <w:tr w:rsidR="009C4AE1" w:rsidRPr="00842264" w14:paraId="23E0D0A1" w14:textId="77777777" w:rsidTr="00BA7963">
        <w:tc>
          <w:tcPr>
            <w:tcW w:w="2460" w:type="pct"/>
            <w:gridSpan w:val="2"/>
            <w:tcBorders>
              <w:top w:val="nil"/>
              <w:left w:val="nil"/>
              <w:bottom w:val="nil"/>
              <w:right w:val="nil"/>
            </w:tcBorders>
          </w:tcPr>
          <w:p w14:paraId="209D703D"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sidRPr="00842264">
              <w:rPr>
                <w:rFonts w:ascii="Times New Roman" w:hAnsi="Times New Roman" w:cs="Times New Roman"/>
                <w:sz w:val="24"/>
                <w:szCs w:val="24"/>
                <w:lang w:val="en-US"/>
              </w:rPr>
              <w:t>Buyer market share</w:t>
            </w:r>
          </w:p>
        </w:tc>
        <w:tc>
          <w:tcPr>
            <w:tcW w:w="714" w:type="pct"/>
            <w:tcBorders>
              <w:top w:val="nil"/>
              <w:left w:val="nil"/>
              <w:bottom w:val="nil"/>
              <w:right w:val="nil"/>
            </w:tcBorders>
          </w:tcPr>
          <w:p w14:paraId="52E7896F"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0.0005</w:t>
            </w:r>
          </w:p>
        </w:tc>
        <w:tc>
          <w:tcPr>
            <w:tcW w:w="556" w:type="pct"/>
            <w:tcBorders>
              <w:top w:val="nil"/>
              <w:left w:val="nil"/>
              <w:bottom w:val="nil"/>
              <w:right w:val="nil"/>
            </w:tcBorders>
          </w:tcPr>
          <w:p w14:paraId="179046C9"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(0.000)</w:t>
            </w:r>
          </w:p>
        </w:tc>
        <w:tc>
          <w:tcPr>
            <w:tcW w:w="731" w:type="pct"/>
            <w:tcBorders>
              <w:top w:val="nil"/>
              <w:left w:val="nil"/>
              <w:bottom w:val="nil"/>
              <w:right w:val="nil"/>
            </w:tcBorders>
          </w:tcPr>
          <w:p w14:paraId="14F8503C"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0.0049</w:t>
            </w:r>
          </w:p>
        </w:tc>
        <w:tc>
          <w:tcPr>
            <w:tcW w:w="539" w:type="pct"/>
            <w:tcBorders>
              <w:top w:val="nil"/>
              <w:left w:val="nil"/>
              <w:bottom w:val="nil"/>
              <w:right w:val="nil"/>
            </w:tcBorders>
          </w:tcPr>
          <w:p w14:paraId="152ABEA7"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(0.005)</w:t>
            </w:r>
          </w:p>
        </w:tc>
      </w:tr>
      <w:tr w:rsidR="009C4AE1" w:rsidRPr="00842264" w14:paraId="1C62FA47" w14:textId="77777777" w:rsidTr="00BA7963">
        <w:tc>
          <w:tcPr>
            <w:tcW w:w="2460" w:type="pct"/>
            <w:gridSpan w:val="2"/>
            <w:tcBorders>
              <w:top w:val="nil"/>
              <w:left w:val="nil"/>
              <w:bottom w:val="nil"/>
              <w:right w:val="nil"/>
            </w:tcBorders>
          </w:tcPr>
          <w:p w14:paraId="02B080AA"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842264">
              <w:rPr>
                <w:rFonts w:ascii="Times New Roman" w:hAnsi="Times New Roman" w:cs="Times New Roman"/>
                <w:sz w:val="24"/>
                <w:szCs w:val="24"/>
                <w:lang w:val="en-US"/>
              </w:rPr>
              <w:t xml:space="preserve">Buyer business </w:t>
            </w:r>
            <w:r>
              <w:rPr>
                <w:rFonts w:ascii="Times New Roman" w:hAnsi="Times New Roman" w:cs="Times New Roman"/>
                <w:sz w:val="24"/>
                <w:szCs w:val="24"/>
                <w:lang w:val="en-US"/>
              </w:rPr>
              <w:t>diversification</w:t>
            </w:r>
          </w:p>
        </w:tc>
        <w:tc>
          <w:tcPr>
            <w:tcW w:w="714" w:type="pct"/>
            <w:tcBorders>
              <w:top w:val="nil"/>
              <w:left w:val="nil"/>
              <w:bottom w:val="nil"/>
              <w:right w:val="nil"/>
            </w:tcBorders>
          </w:tcPr>
          <w:p w14:paraId="4844BADF"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-0.0011</w:t>
            </w:r>
          </w:p>
        </w:tc>
        <w:tc>
          <w:tcPr>
            <w:tcW w:w="556" w:type="pct"/>
            <w:tcBorders>
              <w:top w:val="nil"/>
              <w:left w:val="nil"/>
              <w:bottom w:val="nil"/>
              <w:right w:val="nil"/>
            </w:tcBorders>
          </w:tcPr>
          <w:p w14:paraId="0FC1D0F0"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(0.003)</w:t>
            </w:r>
          </w:p>
        </w:tc>
        <w:tc>
          <w:tcPr>
            <w:tcW w:w="731" w:type="pct"/>
            <w:tcBorders>
              <w:top w:val="nil"/>
              <w:left w:val="nil"/>
              <w:bottom w:val="nil"/>
              <w:right w:val="nil"/>
            </w:tcBorders>
          </w:tcPr>
          <w:p w14:paraId="19793C17"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0.0137</w:t>
            </w:r>
          </w:p>
        </w:tc>
        <w:tc>
          <w:tcPr>
            <w:tcW w:w="539" w:type="pct"/>
            <w:tcBorders>
              <w:top w:val="nil"/>
              <w:left w:val="nil"/>
              <w:bottom w:val="nil"/>
              <w:right w:val="nil"/>
            </w:tcBorders>
          </w:tcPr>
          <w:p w14:paraId="5B02FAF9"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(0.022)</w:t>
            </w:r>
          </w:p>
        </w:tc>
      </w:tr>
      <w:tr w:rsidR="009C4AE1" w:rsidRPr="00842264" w14:paraId="06C72780" w14:textId="77777777" w:rsidTr="00BA7963">
        <w:tc>
          <w:tcPr>
            <w:tcW w:w="2460" w:type="pct"/>
            <w:gridSpan w:val="2"/>
            <w:tcBorders>
              <w:top w:val="nil"/>
              <w:left w:val="nil"/>
              <w:bottom w:val="nil"/>
              <w:right w:val="nil"/>
            </w:tcBorders>
          </w:tcPr>
          <w:p w14:paraId="1C2824C7"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842264">
              <w:rPr>
                <w:rFonts w:ascii="Times New Roman" w:hAnsi="Times New Roman" w:cs="Times New Roman"/>
                <w:sz w:val="24"/>
                <w:szCs w:val="24"/>
                <w:lang w:val="en-US"/>
              </w:rPr>
              <w:t xml:space="preserve">Buyer </w:t>
            </w:r>
            <w:r>
              <w:rPr>
                <w:rFonts w:ascii="Times New Roman" w:hAnsi="Times New Roman" w:cs="Times New Roman"/>
                <w:sz w:val="24"/>
                <w:szCs w:val="24"/>
                <w:lang w:val="en-US"/>
              </w:rPr>
              <w:t>R&amp;D intensity</w:t>
            </w:r>
          </w:p>
        </w:tc>
        <w:tc>
          <w:tcPr>
            <w:tcW w:w="714" w:type="pct"/>
            <w:tcBorders>
              <w:top w:val="nil"/>
              <w:left w:val="nil"/>
              <w:bottom w:val="nil"/>
              <w:right w:val="nil"/>
            </w:tcBorders>
          </w:tcPr>
          <w:p w14:paraId="4B17957F"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0.0408***</w:t>
            </w:r>
          </w:p>
        </w:tc>
        <w:tc>
          <w:tcPr>
            <w:tcW w:w="556" w:type="pct"/>
            <w:tcBorders>
              <w:top w:val="nil"/>
              <w:left w:val="nil"/>
              <w:bottom w:val="nil"/>
              <w:right w:val="nil"/>
            </w:tcBorders>
          </w:tcPr>
          <w:p w14:paraId="62CF139C"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(0.006)</w:t>
            </w:r>
          </w:p>
        </w:tc>
        <w:tc>
          <w:tcPr>
            <w:tcW w:w="731" w:type="pct"/>
            <w:tcBorders>
              <w:top w:val="nil"/>
              <w:left w:val="nil"/>
              <w:bottom w:val="nil"/>
              <w:right w:val="nil"/>
            </w:tcBorders>
          </w:tcPr>
          <w:p w14:paraId="3D3025C8"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0.2568**</w:t>
            </w:r>
          </w:p>
        </w:tc>
        <w:tc>
          <w:tcPr>
            <w:tcW w:w="539" w:type="pct"/>
            <w:tcBorders>
              <w:top w:val="nil"/>
              <w:left w:val="nil"/>
              <w:bottom w:val="nil"/>
              <w:right w:val="nil"/>
            </w:tcBorders>
          </w:tcPr>
          <w:p w14:paraId="7B2648E3"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(0.125)</w:t>
            </w:r>
          </w:p>
        </w:tc>
      </w:tr>
      <w:tr w:rsidR="009C4AE1" w:rsidRPr="002A5803" w14:paraId="069D102E" w14:textId="77777777" w:rsidTr="00BA7963">
        <w:tc>
          <w:tcPr>
            <w:tcW w:w="2460" w:type="pct"/>
            <w:gridSpan w:val="2"/>
            <w:tcBorders>
              <w:top w:val="nil"/>
              <w:left w:val="nil"/>
              <w:bottom w:val="nil"/>
              <w:right w:val="nil"/>
            </w:tcBorders>
          </w:tcPr>
          <w:p w14:paraId="214316DE"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Buyer-relative ESG performance</w:t>
            </w:r>
          </w:p>
        </w:tc>
        <w:tc>
          <w:tcPr>
            <w:tcW w:w="714" w:type="pct"/>
            <w:tcBorders>
              <w:top w:val="nil"/>
              <w:left w:val="nil"/>
              <w:bottom w:val="nil"/>
              <w:right w:val="nil"/>
            </w:tcBorders>
          </w:tcPr>
          <w:p w14:paraId="25D1136C" w14:textId="77777777" w:rsidR="009C4AE1" w:rsidRPr="003E63A3" w:rsidRDefault="009C4AE1" w:rsidP="00BA7963">
            <w:pPr>
              <w:widowControl w:val="0"/>
              <w:autoSpaceDE w:val="0"/>
              <w:autoSpaceDN w:val="0"/>
              <w:adjustRightInd w:val="0"/>
              <w:spacing w:after="0" w:line="360" w:lineRule="auto"/>
              <w:rPr>
                <w:rFonts w:ascii="Times New Roman" w:hAnsi="Times New Roman" w:cs="Times New Roman"/>
                <w:sz w:val="24"/>
                <w:szCs w:val="24"/>
                <w:highlight w:val="magenta"/>
              </w:rPr>
            </w:pPr>
            <w:r w:rsidRPr="00675AEE">
              <w:rPr>
                <w:rFonts w:ascii="Times New Roman" w:hAnsi="Times New Roman" w:cs="Times New Roman"/>
                <w:sz w:val="24"/>
                <w:szCs w:val="24"/>
              </w:rPr>
              <w:t>0.0005</w:t>
            </w:r>
            <w:r>
              <w:rPr>
                <w:rFonts w:ascii="Times New Roman" w:hAnsi="Times New Roman" w:cs="Times New Roman"/>
                <w:sz w:val="24"/>
                <w:szCs w:val="24"/>
              </w:rPr>
              <w:t>*</w:t>
            </w:r>
          </w:p>
        </w:tc>
        <w:tc>
          <w:tcPr>
            <w:tcW w:w="556" w:type="pct"/>
            <w:tcBorders>
              <w:top w:val="nil"/>
              <w:left w:val="nil"/>
              <w:bottom w:val="nil"/>
              <w:right w:val="nil"/>
            </w:tcBorders>
          </w:tcPr>
          <w:p w14:paraId="60E2E8BB" w14:textId="77777777" w:rsidR="009C4AE1" w:rsidRPr="00675AEE"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(0.000)</w:t>
            </w:r>
          </w:p>
        </w:tc>
        <w:tc>
          <w:tcPr>
            <w:tcW w:w="731" w:type="pct"/>
            <w:tcBorders>
              <w:top w:val="nil"/>
              <w:left w:val="nil"/>
              <w:bottom w:val="nil"/>
              <w:right w:val="nil"/>
            </w:tcBorders>
          </w:tcPr>
          <w:p w14:paraId="7C07273F" w14:textId="77777777" w:rsidR="009C4AE1" w:rsidRPr="003E63A3" w:rsidRDefault="009C4AE1" w:rsidP="00BA7963">
            <w:pPr>
              <w:widowControl w:val="0"/>
              <w:autoSpaceDE w:val="0"/>
              <w:autoSpaceDN w:val="0"/>
              <w:adjustRightInd w:val="0"/>
              <w:spacing w:after="0" w:line="360" w:lineRule="auto"/>
              <w:rPr>
                <w:rFonts w:ascii="Times New Roman" w:hAnsi="Times New Roman" w:cs="Times New Roman"/>
                <w:sz w:val="24"/>
                <w:szCs w:val="24"/>
                <w:highlight w:val="magenta"/>
              </w:rPr>
            </w:pPr>
            <w:r w:rsidRPr="00274B25">
              <w:rPr>
                <w:rFonts w:ascii="Times New Roman" w:hAnsi="Times New Roman" w:cs="Times New Roman"/>
                <w:sz w:val="24"/>
                <w:szCs w:val="24"/>
              </w:rPr>
              <w:t>0.0022</w:t>
            </w:r>
            <w:r>
              <w:rPr>
                <w:rFonts w:ascii="Times New Roman" w:hAnsi="Times New Roman" w:cs="Times New Roman"/>
                <w:sz w:val="24"/>
                <w:szCs w:val="24"/>
              </w:rPr>
              <w:t>**</w:t>
            </w:r>
          </w:p>
        </w:tc>
        <w:tc>
          <w:tcPr>
            <w:tcW w:w="539" w:type="pct"/>
            <w:tcBorders>
              <w:top w:val="nil"/>
              <w:left w:val="nil"/>
              <w:bottom w:val="nil"/>
              <w:right w:val="nil"/>
            </w:tcBorders>
          </w:tcPr>
          <w:p w14:paraId="39798982"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(0.00</w:t>
            </w:r>
            <w:r>
              <w:rPr>
                <w:rFonts w:ascii="Times New Roman" w:hAnsi="Times New Roman" w:cs="Times New Roman"/>
                <w:sz w:val="24"/>
                <w:szCs w:val="24"/>
              </w:rPr>
              <w:t>1</w:t>
            </w:r>
            <w:r w:rsidRPr="00274B25">
              <w:rPr>
                <w:rFonts w:ascii="Times New Roman" w:hAnsi="Times New Roman" w:cs="Times New Roman"/>
                <w:sz w:val="24"/>
                <w:szCs w:val="24"/>
              </w:rPr>
              <w:t>)</w:t>
            </w:r>
          </w:p>
        </w:tc>
      </w:tr>
      <w:tr w:rsidR="009C4AE1" w:rsidRPr="002A5803" w14:paraId="167A4F85" w14:textId="77777777" w:rsidTr="00BA7963">
        <w:tc>
          <w:tcPr>
            <w:tcW w:w="2460" w:type="pct"/>
            <w:gridSpan w:val="2"/>
            <w:tcBorders>
              <w:top w:val="nil"/>
              <w:left w:val="nil"/>
              <w:bottom w:val="nil"/>
              <w:right w:val="nil"/>
            </w:tcBorders>
          </w:tcPr>
          <w:p w14:paraId="528260EB"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Supplier-relative ESG performance</w:t>
            </w:r>
          </w:p>
        </w:tc>
        <w:tc>
          <w:tcPr>
            <w:tcW w:w="714" w:type="pct"/>
            <w:tcBorders>
              <w:top w:val="nil"/>
              <w:left w:val="nil"/>
              <w:bottom w:val="nil"/>
              <w:right w:val="nil"/>
            </w:tcBorders>
          </w:tcPr>
          <w:p w14:paraId="6ECCF7A7"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0.0004*</w:t>
            </w:r>
          </w:p>
        </w:tc>
        <w:tc>
          <w:tcPr>
            <w:tcW w:w="556" w:type="pct"/>
            <w:tcBorders>
              <w:top w:val="nil"/>
              <w:left w:val="nil"/>
              <w:bottom w:val="nil"/>
              <w:right w:val="nil"/>
            </w:tcBorders>
          </w:tcPr>
          <w:p w14:paraId="4845AB2B"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(0.000)</w:t>
            </w:r>
          </w:p>
        </w:tc>
        <w:tc>
          <w:tcPr>
            <w:tcW w:w="731" w:type="pct"/>
            <w:tcBorders>
              <w:top w:val="nil"/>
              <w:left w:val="nil"/>
              <w:bottom w:val="nil"/>
              <w:right w:val="nil"/>
            </w:tcBorders>
          </w:tcPr>
          <w:p w14:paraId="33C460DF"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-0.0019</w:t>
            </w:r>
          </w:p>
        </w:tc>
        <w:tc>
          <w:tcPr>
            <w:tcW w:w="539" w:type="pct"/>
            <w:tcBorders>
              <w:top w:val="nil"/>
              <w:left w:val="nil"/>
              <w:bottom w:val="nil"/>
              <w:right w:val="nil"/>
            </w:tcBorders>
          </w:tcPr>
          <w:p w14:paraId="0FC51319"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(0.003)</w:t>
            </w:r>
          </w:p>
        </w:tc>
      </w:tr>
      <w:tr w:rsidR="009C4AE1" w:rsidRPr="00842264" w14:paraId="5844B2B7" w14:textId="77777777" w:rsidTr="00BA7963">
        <w:tc>
          <w:tcPr>
            <w:tcW w:w="2460" w:type="pct"/>
            <w:gridSpan w:val="2"/>
            <w:tcBorders>
              <w:top w:val="nil"/>
              <w:left w:val="nil"/>
              <w:right w:val="nil"/>
            </w:tcBorders>
          </w:tcPr>
          <w:p w14:paraId="6D4965F3"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R</w:t>
            </w:r>
            <w:r w:rsidRPr="00842264">
              <w:rPr>
                <w:rFonts w:ascii="Times New Roman" w:hAnsi="Times New Roman" w:cs="Times New Roman"/>
                <w:sz w:val="24"/>
                <w:szCs w:val="24"/>
                <w:lang w:val="en-US"/>
              </w:rPr>
              <w:t>elationship</w:t>
            </w:r>
            <w:r>
              <w:rPr>
                <w:rFonts w:ascii="Times New Roman" w:hAnsi="Times New Roman" w:cs="Times New Roman"/>
                <w:sz w:val="24"/>
                <w:szCs w:val="24"/>
                <w:lang w:val="en-US"/>
              </w:rPr>
              <w:t xml:space="preserve"> length</w:t>
            </w:r>
          </w:p>
        </w:tc>
        <w:tc>
          <w:tcPr>
            <w:tcW w:w="714" w:type="pct"/>
            <w:tcBorders>
              <w:top w:val="nil"/>
              <w:left w:val="nil"/>
              <w:right w:val="nil"/>
            </w:tcBorders>
          </w:tcPr>
          <w:p w14:paraId="33D903CE"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-0.0001</w:t>
            </w:r>
          </w:p>
        </w:tc>
        <w:tc>
          <w:tcPr>
            <w:tcW w:w="556" w:type="pct"/>
            <w:tcBorders>
              <w:top w:val="nil"/>
              <w:left w:val="nil"/>
              <w:right w:val="nil"/>
            </w:tcBorders>
          </w:tcPr>
          <w:p w14:paraId="2773B84D"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(0.001)</w:t>
            </w:r>
          </w:p>
        </w:tc>
        <w:tc>
          <w:tcPr>
            <w:tcW w:w="731" w:type="pct"/>
            <w:tcBorders>
              <w:top w:val="nil"/>
              <w:left w:val="nil"/>
              <w:right w:val="nil"/>
            </w:tcBorders>
          </w:tcPr>
          <w:p w14:paraId="1D7219DF"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0.0305**</w:t>
            </w:r>
          </w:p>
        </w:tc>
        <w:tc>
          <w:tcPr>
            <w:tcW w:w="539" w:type="pct"/>
            <w:tcBorders>
              <w:top w:val="nil"/>
              <w:left w:val="nil"/>
              <w:right w:val="nil"/>
            </w:tcBorders>
          </w:tcPr>
          <w:p w14:paraId="3D5746D2"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274B25">
              <w:rPr>
                <w:rFonts w:ascii="Times New Roman" w:hAnsi="Times New Roman" w:cs="Times New Roman"/>
                <w:sz w:val="24"/>
                <w:szCs w:val="24"/>
              </w:rPr>
              <w:t>(0.014)</w:t>
            </w:r>
          </w:p>
        </w:tc>
      </w:tr>
      <w:tr w:rsidR="009C4AE1" w:rsidRPr="00842264" w14:paraId="34473FD2" w14:textId="77777777" w:rsidTr="00BA7963">
        <w:tc>
          <w:tcPr>
            <w:tcW w:w="2460" w:type="pct"/>
            <w:gridSpan w:val="2"/>
            <w:tcBorders>
              <w:top w:val="nil"/>
              <w:left w:val="nil"/>
              <w:bottom w:val="single" w:sz="4" w:space="0" w:color="auto"/>
              <w:right w:val="nil"/>
            </w:tcBorders>
          </w:tcPr>
          <w:p w14:paraId="5E88FACF" w14:textId="77777777" w:rsidR="009C4AE1" w:rsidRPr="00842264"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842264">
              <w:rPr>
                <w:rFonts w:ascii="Times New Roman" w:hAnsi="Times New Roman" w:cs="Times New Roman"/>
                <w:sz w:val="24"/>
                <w:szCs w:val="24"/>
              </w:rPr>
              <w:t xml:space="preserve">Mutual </w:t>
            </w:r>
            <w:proofErr w:type="spellStart"/>
            <w:r w:rsidRPr="00842264">
              <w:rPr>
                <w:rFonts w:ascii="Times New Roman" w:hAnsi="Times New Roman" w:cs="Times New Roman"/>
                <w:sz w:val="24"/>
                <w:szCs w:val="24"/>
              </w:rPr>
              <w:t>dependence</w:t>
            </w:r>
            <w:proofErr w:type="spellEnd"/>
          </w:p>
        </w:tc>
        <w:tc>
          <w:tcPr>
            <w:tcW w:w="714" w:type="pct"/>
            <w:tcBorders>
              <w:top w:val="nil"/>
              <w:left w:val="nil"/>
              <w:bottom w:val="single" w:sz="4" w:space="0" w:color="auto"/>
              <w:right w:val="nil"/>
            </w:tcBorders>
          </w:tcPr>
          <w:p w14:paraId="480AB95B"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0.0020***</w:t>
            </w:r>
          </w:p>
        </w:tc>
        <w:tc>
          <w:tcPr>
            <w:tcW w:w="556" w:type="pct"/>
            <w:tcBorders>
              <w:top w:val="nil"/>
              <w:left w:val="nil"/>
              <w:bottom w:val="single" w:sz="4" w:space="0" w:color="auto"/>
              <w:right w:val="nil"/>
            </w:tcBorders>
          </w:tcPr>
          <w:p w14:paraId="5E75AFF3"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(0.001)</w:t>
            </w:r>
          </w:p>
        </w:tc>
        <w:tc>
          <w:tcPr>
            <w:tcW w:w="731" w:type="pct"/>
            <w:tcBorders>
              <w:top w:val="nil"/>
              <w:left w:val="nil"/>
              <w:bottom w:val="single" w:sz="4" w:space="0" w:color="auto"/>
              <w:right w:val="nil"/>
            </w:tcBorders>
          </w:tcPr>
          <w:p w14:paraId="63EBD996"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80709E">
              <w:rPr>
                <w:rFonts w:ascii="Times New Roman" w:hAnsi="Times New Roman" w:cs="Times New Roman"/>
                <w:sz w:val="24"/>
                <w:szCs w:val="24"/>
              </w:rPr>
              <w:t>-0.0157</w:t>
            </w:r>
            <w:r>
              <w:rPr>
                <w:rFonts w:ascii="Times New Roman" w:hAnsi="Times New Roman" w:cs="Times New Roman"/>
                <w:sz w:val="24"/>
                <w:szCs w:val="24"/>
              </w:rPr>
              <w:t>*</w:t>
            </w:r>
          </w:p>
        </w:tc>
        <w:tc>
          <w:tcPr>
            <w:tcW w:w="539" w:type="pct"/>
            <w:tcBorders>
              <w:top w:val="nil"/>
              <w:left w:val="nil"/>
              <w:bottom w:val="single" w:sz="4" w:space="0" w:color="auto"/>
              <w:right w:val="nil"/>
            </w:tcBorders>
          </w:tcPr>
          <w:p w14:paraId="6A07474D" w14:textId="77777777" w:rsidR="009C4AE1" w:rsidRDefault="009C4AE1" w:rsidP="00BA7963">
            <w:pPr>
              <w:widowControl w:val="0"/>
              <w:autoSpaceDE w:val="0"/>
              <w:autoSpaceDN w:val="0"/>
              <w:adjustRightInd w:val="0"/>
              <w:spacing w:after="0" w:line="360" w:lineRule="auto"/>
              <w:rPr>
                <w:rFonts w:ascii="Times New Roman" w:hAnsi="Times New Roman" w:cs="Times New Roman"/>
                <w:sz w:val="24"/>
                <w:szCs w:val="24"/>
              </w:rPr>
            </w:pPr>
            <w:r w:rsidRPr="0080709E">
              <w:rPr>
                <w:rFonts w:ascii="Times New Roman" w:hAnsi="Times New Roman" w:cs="Times New Roman"/>
                <w:sz w:val="24"/>
                <w:szCs w:val="24"/>
              </w:rPr>
              <w:t>(0.0</w:t>
            </w:r>
            <w:r>
              <w:rPr>
                <w:rFonts w:ascii="Times New Roman" w:hAnsi="Times New Roman" w:cs="Times New Roman"/>
                <w:sz w:val="24"/>
                <w:szCs w:val="24"/>
              </w:rPr>
              <w:t>09</w:t>
            </w:r>
            <w:r w:rsidRPr="0080709E">
              <w:rPr>
                <w:rFonts w:ascii="Times New Roman" w:hAnsi="Times New Roman" w:cs="Times New Roman"/>
                <w:sz w:val="24"/>
                <w:szCs w:val="24"/>
              </w:rPr>
              <w:t>)</w:t>
            </w:r>
          </w:p>
        </w:tc>
      </w:tr>
    </w:tbl>
    <w:p w14:paraId="2C6835E1" w14:textId="77777777" w:rsidR="009C4AE1" w:rsidRPr="007123C9" w:rsidRDefault="009C4AE1" w:rsidP="009C4AE1">
      <w:pPr>
        <w:spacing w:line="276" w:lineRule="auto"/>
        <w:jc w:val="both"/>
        <w:rPr>
          <w:rFonts w:ascii="Times New Roman" w:hAnsi="Times New Roman" w:cs="Times New Roman"/>
          <w:sz w:val="24"/>
          <w:szCs w:val="24"/>
          <w:lang w:val="en-US"/>
        </w:rPr>
      </w:pPr>
      <w:r w:rsidRPr="007123C9">
        <w:rPr>
          <w:rFonts w:ascii="Times New Roman" w:hAnsi="Times New Roman" w:cs="Times New Roman"/>
          <w:sz w:val="24"/>
          <w:szCs w:val="24"/>
          <w:lang w:val="en-US"/>
        </w:rPr>
        <w:t xml:space="preserve">Notes: The </w:t>
      </w:r>
      <w:r>
        <w:rPr>
          <w:rFonts w:ascii="Times New Roman" w:hAnsi="Times New Roman" w:cs="Times New Roman"/>
          <w:sz w:val="24"/>
          <w:szCs w:val="24"/>
          <w:lang w:val="en-US"/>
        </w:rPr>
        <w:t xml:space="preserve">sustainability </w:t>
      </w:r>
      <w:r w:rsidRPr="007123C9">
        <w:rPr>
          <w:rFonts w:ascii="Times New Roman" w:hAnsi="Times New Roman" w:cs="Times New Roman"/>
          <w:sz w:val="24"/>
          <w:szCs w:val="24"/>
          <w:lang w:val="en-US"/>
        </w:rPr>
        <w:t>asymmetries reflect the differences between buyers and suppliers in each of the environmental and social sustainability areas and they are calculated in absolute value terms (i.e. degree of the asymmetry). The sample size is 2,</w:t>
      </w:r>
      <w:r>
        <w:rPr>
          <w:rFonts w:ascii="Times New Roman" w:hAnsi="Times New Roman" w:cs="Times New Roman"/>
          <w:sz w:val="24"/>
          <w:szCs w:val="24"/>
          <w:lang w:val="en-US"/>
        </w:rPr>
        <w:t>093 d</w:t>
      </w:r>
      <w:r w:rsidRPr="007123C9">
        <w:rPr>
          <w:rFonts w:ascii="Times New Roman" w:hAnsi="Times New Roman" w:cs="Times New Roman"/>
          <w:sz w:val="24"/>
          <w:szCs w:val="24"/>
          <w:lang w:val="en-US"/>
        </w:rPr>
        <w:t xml:space="preserve">yad-year observations for </w:t>
      </w:r>
      <w:r>
        <w:rPr>
          <w:rFonts w:ascii="Times New Roman" w:hAnsi="Times New Roman" w:cs="Times New Roman"/>
          <w:sz w:val="24"/>
          <w:szCs w:val="24"/>
          <w:lang w:val="en-US"/>
        </w:rPr>
        <w:t>516</w:t>
      </w:r>
      <w:r w:rsidRPr="007123C9">
        <w:rPr>
          <w:rFonts w:ascii="Times New Roman" w:hAnsi="Times New Roman" w:cs="Times New Roman"/>
          <w:sz w:val="24"/>
          <w:szCs w:val="24"/>
          <w:lang w:val="en-US"/>
        </w:rPr>
        <w:t xml:space="preserve"> dyads (i.e. buyer and its top first-tier supplier). </w:t>
      </w:r>
      <w:r>
        <w:rPr>
          <w:rFonts w:ascii="Times New Roman" w:hAnsi="Times New Roman" w:cs="Times New Roman"/>
          <w:sz w:val="24"/>
          <w:szCs w:val="24"/>
          <w:lang w:val="en-US"/>
        </w:rPr>
        <w:t>R</w:t>
      </w:r>
      <w:r w:rsidRPr="007123C9">
        <w:rPr>
          <w:rFonts w:ascii="Times New Roman" w:hAnsi="Times New Roman" w:cs="Times New Roman"/>
          <w:sz w:val="24"/>
          <w:szCs w:val="24"/>
          <w:lang w:val="en-US"/>
        </w:rPr>
        <w:t>obust standard errors are in parentheses. Dummy variables for years are included in all models, but they are not reported.</w:t>
      </w:r>
    </w:p>
    <w:p w14:paraId="34E7C35E" w14:textId="77777777" w:rsidR="009C4AE1" w:rsidRDefault="009C4AE1" w:rsidP="009C4AE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Significant at: * </w:t>
      </w:r>
      <w:r w:rsidRPr="00D70BD0">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D70BD0">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D70BD0">
        <w:rPr>
          <w:rFonts w:ascii="Times New Roman" w:hAnsi="Times New Roman" w:cs="Times New Roman"/>
          <w:sz w:val="24"/>
          <w:szCs w:val="24"/>
          <w:lang w:val="en-US"/>
        </w:rPr>
        <w:t>0.10</w:t>
      </w:r>
      <w:r>
        <w:rPr>
          <w:rFonts w:ascii="Times New Roman" w:hAnsi="Times New Roman" w:cs="Times New Roman"/>
          <w:sz w:val="24"/>
          <w:szCs w:val="24"/>
          <w:lang w:val="en-US"/>
        </w:rPr>
        <w:t>, *</w:t>
      </w:r>
      <w:proofErr w:type="gramStart"/>
      <w:r>
        <w:rPr>
          <w:rFonts w:ascii="Times New Roman" w:hAnsi="Times New Roman" w:cs="Times New Roman"/>
          <w:sz w:val="24"/>
          <w:szCs w:val="24"/>
          <w:lang w:val="en-US"/>
        </w:rPr>
        <w:t xml:space="preserve">* </w:t>
      </w:r>
      <w:r w:rsidRPr="00D70BD0">
        <w:rPr>
          <w:rFonts w:ascii="Times New Roman" w:hAnsi="Times New Roman" w:cs="Times New Roman"/>
          <w:sz w:val="24"/>
          <w:szCs w:val="24"/>
          <w:lang w:val="en-US"/>
        </w:rPr>
        <w:t xml:space="preserve"> p</w:t>
      </w:r>
      <w:proofErr w:type="gramEnd"/>
      <w:r w:rsidRPr="00D70BD0">
        <w:rPr>
          <w:rFonts w:ascii="Times New Roman" w:hAnsi="Times New Roman" w:cs="Times New Roman"/>
          <w:sz w:val="24"/>
          <w:szCs w:val="24"/>
          <w:lang w:val="en-US"/>
        </w:rPr>
        <w:t xml:space="preserve"> &lt; 0.05</w:t>
      </w:r>
      <w:r>
        <w:rPr>
          <w:rFonts w:ascii="Times New Roman" w:hAnsi="Times New Roman" w:cs="Times New Roman"/>
          <w:sz w:val="24"/>
          <w:szCs w:val="24"/>
          <w:lang w:val="en-US"/>
        </w:rPr>
        <w:t xml:space="preserve">, *** </w:t>
      </w:r>
      <w:r w:rsidRPr="00D70BD0">
        <w:rPr>
          <w:rFonts w:ascii="Times New Roman" w:hAnsi="Times New Roman" w:cs="Times New Roman"/>
          <w:sz w:val="24"/>
          <w:szCs w:val="24"/>
          <w:lang w:val="en-US"/>
        </w:rPr>
        <w:t>p &lt; 0.01</w:t>
      </w:r>
      <w:r>
        <w:rPr>
          <w:rFonts w:ascii="Times New Roman" w:hAnsi="Times New Roman" w:cs="Times New Roman"/>
          <w:sz w:val="24"/>
          <w:szCs w:val="24"/>
          <w:lang w:val="en-US"/>
        </w:rPr>
        <w:t>.</w:t>
      </w:r>
    </w:p>
    <w:p w14:paraId="3A3EC3B1" w14:textId="77777777" w:rsidR="009C4AE1" w:rsidRDefault="009C4AE1" w:rsidP="009C4AE1">
      <w:pPr>
        <w:spacing w:line="240" w:lineRule="auto"/>
        <w:rPr>
          <w:rFonts w:ascii="Times New Roman" w:hAnsi="Times New Roman" w:cs="Times New Roman"/>
          <w:sz w:val="24"/>
          <w:szCs w:val="24"/>
          <w:lang w:val="en-US"/>
        </w:rPr>
        <w:sectPr w:rsidR="009C4AE1" w:rsidSect="00BA7963">
          <w:pgSz w:w="11906" w:h="16838"/>
          <w:pgMar w:top="1411" w:right="1584" w:bottom="1411" w:left="1440" w:header="706" w:footer="706" w:gutter="0"/>
          <w:cols w:space="708"/>
          <w:docGrid w:linePitch="360"/>
        </w:sectPr>
      </w:pPr>
    </w:p>
    <w:p w14:paraId="14E62F46" w14:textId="77777777" w:rsidR="009C4AE1" w:rsidRDefault="009C4AE1" w:rsidP="009C4AE1">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w:t>
      </w:r>
      <w:r w:rsidRPr="00857E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4 </w:t>
      </w:r>
    </w:p>
    <w:p w14:paraId="5DB05F54" w14:textId="77777777" w:rsidR="009C4AE1" w:rsidRPr="00FB2690" w:rsidRDefault="009C4AE1" w:rsidP="009C4AE1">
      <w:pPr>
        <w:rPr>
          <w:rFonts w:ascii="Times New Roman" w:hAnsi="Times New Roman" w:cs="Times New Roman"/>
          <w:sz w:val="24"/>
          <w:szCs w:val="24"/>
          <w:lang w:val="en-US"/>
        </w:rPr>
      </w:pPr>
      <w:r>
        <w:rPr>
          <w:rFonts w:ascii="Times New Roman" w:hAnsi="Times New Roman" w:cs="Times New Roman"/>
          <w:sz w:val="24"/>
          <w:szCs w:val="24"/>
          <w:lang w:val="en-US"/>
        </w:rPr>
        <w:t>Panel f</w:t>
      </w:r>
      <w:r w:rsidRPr="00FB2690">
        <w:rPr>
          <w:rFonts w:ascii="Times New Roman" w:hAnsi="Times New Roman" w:cs="Times New Roman"/>
          <w:sz w:val="24"/>
          <w:szCs w:val="24"/>
          <w:lang w:val="en-US"/>
        </w:rPr>
        <w:t>ix</w:t>
      </w:r>
      <w:r>
        <w:rPr>
          <w:rFonts w:ascii="Times New Roman" w:hAnsi="Times New Roman" w:cs="Times New Roman"/>
          <w:sz w:val="24"/>
          <w:szCs w:val="24"/>
          <w:lang w:val="en-US"/>
        </w:rPr>
        <w:t>ed-effect regression analysis</w:t>
      </w:r>
      <w:r w:rsidRPr="00FB2690">
        <w:rPr>
          <w:rFonts w:ascii="Times New Roman" w:hAnsi="Times New Roman" w:cs="Times New Roman"/>
          <w:sz w:val="24"/>
          <w:szCs w:val="24"/>
          <w:lang w:val="en-US"/>
        </w:rPr>
        <w:t xml:space="preserve"> for buyer’s performance (2011-201</w:t>
      </w:r>
      <w:r>
        <w:rPr>
          <w:rFonts w:ascii="Times New Roman" w:hAnsi="Times New Roman" w:cs="Times New Roman"/>
          <w:sz w:val="24"/>
          <w:szCs w:val="24"/>
          <w:lang w:val="en-US"/>
        </w:rPr>
        <w:t>8</w:t>
      </w:r>
      <w:r w:rsidRPr="00FB2690">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FB2690">
        <w:rPr>
          <w:rFonts w:ascii="Times New Roman" w:hAnsi="Times New Roman" w:cs="Times New Roman"/>
          <w:sz w:val="24"/>
          <w:szCs w:val="24"/>
          <w:lang w:val="en-US"/>
        </w:rPr>
        <w:t>uyer</w:t>
      </w:r>
      <w:r>
        <w:rPr>
          <w:rFonts w:ascii="Times New Roman" w:hAnsi="Times New Roman" w:cs="Times New Roman"/>
          <w:sz w:val="24"/>
          <w:szCs w:val="24"/>
          <w:lang w:val="en-US"/>
        </w:rPr>
        <w:t>-</w:t>
      </w:r>
      <w:r w:rsidRPr="00FB2690">
        <w:rPr>
          <w:rFonts w:ascii="Times New Roman" w:hAnsi="Times New Roman" w:cs="Times New Roman"/>
          <w:sz w:val="24"/>
          <w:szCs w:val="24"/>
          <w:lang w:val="en-US"/>
        </w:rPr>
        <w:t xml:space="preserve">supplier environmental &amp; social sustainability asymmetries </w:t>
      </w:r>
      <w:r>
        <w:rPr>
          <w:rFonts w:ascii="Times New Roman" w:hAnsi="Times New Roman" w:cs="Times New Roman"/>
          <w:sz w:val="24"/>
          <w:szCs w:val="24"/>
          <w:lang w:val="en-US"/>
        </w:rPr>
        <w:t>(degree &amp; direction).</w:t>
      </w:r>
    </w:p>
    <w:tbl>
      <w:tblPr>
        <w:tblW w:w="4854" w:type="pct"/>
        <w:tblCellMar>
          <w:left w:w="75" w:type="dxa"/>
          <w:right w:w="75" w:type="dxa"/>
        </w:tblCellMar>
        <w:tblLook w:val="0000" w:firstRow="0" w:lastRow="0" w:firstColumn="0" w:lastColumn="0" w:noHBand="0" w:noVBand="0"/>
      </w:tblPr>
      <w:tblGrid>
        <w:gridCol w:w="7375"/>
        <w:gridCol w:w="1557"/>
        <w:gridCol w:w="1559"/>
        <w:gridCol w:w="1557"/>
        <w:gridCol w:w="1559"/>
      </w:tblGrid>
      <w:tr w:rsidR="009C4AE1" w:rsidRPr="00842264" w14:paraId="33820028" w14:textId="77777777" w:rsidTr="00E41B4F">
        <w:tc>
          <w:tcPr>
            <w:tcW w:w="2710" w:type="pct"/>
            <w:tcBorders>
              <w:top w:val="single" w:sz="4" w:space="0" w:color="auto"/>
              <w:left w:val="nil"/>
              <w:right w:val="nil"/>
            </w:tcBorders>
          </w:tcPr>
          <w:p w14:paraId="5245FD9E"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p>
        </w:tc>
        <w:tc>
          <w:tcPr>
            <w:tcW w:w="1145" w:type="pct"/>
            <w:gridSpan w:val="2"/>
            <w:tcBorders>
              <w:top w:val="single" w:sz="4" w:space="0" w:color="auto"/>
              <w:left w:val="nil"/>
              <w:bottom w:val="single" w:sz="6" w:space="0" w:color="auto"/>
              <w:right w:val="nil"/>
            </w:tcBorders>
          </w:tcPr>
          <w:p w14:paraId="621F8A03" w14:textId="77777777" w:rsidR="009C4AE1" w:rsidRPr="00B17E1A" w:rsidRDefault="009C4AE1" w:rsidP="00BA7963">
            <w:pPr>
              <w:widowControl w:val="0"/>
              <w:autoSpaceDE w:val="0"/>
              <w:autoSpaceDN w:val="0"/>
              <w:adjustRightInd w:val="0"/>
              <w:spacing w:after="0" w:line="240" w:lineRule="auto"/>
              <w:jc w:val="center"/>
              <w:rPr>
                <w:rFonts w:ascii="Times New Roman" w:hAnsi="Times New Roman" w:cs="Times New Roman"/>
                <w:sz w:val="24"/>
                <w:szCs w:val="24"/>
              </w:rPr>
            </w:pPr>
            <w:r w:rsidRPr="00B17E1A">
              <w:rPr>
                <w:rFonts w:ascii="Times New Roman" w:hAnsi="Times New Roman" w:cs="Times New Roman"/>
                <w:sz w:val="24"/>
                <w:szCs w:val="24"/>
              </w:rPr>
              <w:t>ROA</w:t>
            </w:r>
          </w:p>
        </w:tc>
        <w:tc>
          <w:tcPr>
            <w:tcW w:w="1145" w:type="pct"/>
            <w:gridSpan w:val="2"/>
            <w:tcBorders>
              <w:top w:val="single" w:sz="6" w:space="0" w:color="auto"/>
              <w:left w:val="nil"/>
              <w:bottom w:val="nil"/>
              <w:right w:val="nil"/>
            </w:tcBorders>
          </w:tcPr>
          <w:p w14:paraId="6EFE7957" w14:textId="41469A5F" w:rsidR="009C4AE1" w:rsidRDefault="009C4AE1" w:rsidP="00BA796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TOBIN</w:t>
            </w:r>
            <w:r w:rsidR="00707F8A">
              <w:rPr>
                <w:rFonts w:ascii="Times New Roman" w:hAnsi="Times New Roman" w:cs="Times New Roman"/>
                <w:sz w:val="24"/>
                <w:szCs w:val="24"/>
              </w:rPr>
              <w:t>’</w:t>
            </w:r>
            <w:r>
              <w:rPr>
                <w:rFonts w:ascii="Times New Roman" w:hAnsi="Times New Roman" w:cs="Times New Roman"/>
                <w:sz w:val="24"/>
                <w:szCs w:val="24"/>
              </w:rPr>
              <w:t>S</w:t>
            </w:r>
            <w:r w:rsidR="00707F8A">
              <w:rPr>
                <w:rFonts w:ascii="Times New Roman" w:hAnsi="Times New Roman" w:cs="Times New Roman"/>
                <w:sz w:val="24"/>
                <w:szCs w:val="24"/>
              </w:rPr>
              <w:t xml:space="preserve"> </w:t>
            </w:r>
            <w:r>
              <w:rPr>
                <w:rFonts w:ascii="Times New Roman" w:hAnsi="Times New Roman" w:cs="Times New Roman"/>
                <w:sz w:val="24"/>
                <w:szCs w:val="24"/>
              </w:rPr>
              <w:t>Q</w:t>
            </w:r>
          </w:p>
        </w:tc>
      </w:tr>
      <w:tr w:rsidR="009C4AE1" w:rsidRPr="00842264" w14:paraId="1EF6138A" w14:textId="77777777" w:rsidTr="00E41B4F">
        <w:tc>
          <w:tcPr>
            <w:tcW w:w="2710" w:type="pct"/>
            <w:tcBorders>
              <w:left w:val="nil"/>
              <w:right w:val="nil"/>
            </w:tcBorders>
          </w:tcPr>
          <w:p w14:paraId="1D4CDA9F"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Variables</w:t>
            </w:r>
          </w:p>
        </w:tc>
        <w:tc>
          <w:tcPr>
            <w:tcW w:w="1145" w:type="pct"/>
            <w:gridSpan w:val="2"/>
            <w:tcBorders>
              <w:top w:val="single" w:sz="6" w:space="0" w:color="auto"/>
              <w:left w:val="nil"/>
              <w:bottom w:val="nil"/>
              <w:right w:val="nil"/>
            </w:tcBorders>
          </w:tcPr>
          <w:p w14:paraId="286BC24E" w14:textId="77777777" w:rsidR="009C4AE1" w:rsidRPr="00B17E1A" w:rsidRDefault="009C4AE1" w:rsidP="00BA7963">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Model</w:t>
            </w:r>
            <w:proofErr w:type="spellEnd"/>
            <w:r>
              <w:rPr>
                <w:rFonts w:ascii="Times New Roman" w:hAnsi="Times New Roman" w:cs="Times New Roman"/>
                <w:sz w:val="24"/>
                <w:szCs w:val="24"/>
              </w:rPr>
              <w:t xml:space="preserve"> 3</w:t>
            </w:r>
          </w:p>
        </w:tc>
        <w:tc>
          <w:tcPr>
            <w:tcW w:w="1145" w:type="pct"/>
            <w:gridSpan w:val="2"/>
            <w:tcBorders>
              <w:top w:val="single" w:sz="6" w:space="0" w:color="auto"/>
              <w:left w:val="nil"/>
              <w:bottom w:val="nil"/>
              <w:right w:val="nil"/>
            </w:tcBorders>
          </w:tcPr>
          <w:p w14:paraId="4909FB2F" w14:textId="77777777" w:rsidR="009C4AE1" w:rsidRDefault="009C4AE1" w:rsidP="00BA7963">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Model</w:t>
            </w:r>
            <w:proofErr w:type="spellEnd"/>
            <w:r>
              <w:rPr>
                <w:rFonts w:ascii="Times New Roman" w:hAnsi="Times New Roman" w:cs="Times New Roman"/>
                <w:sz w:val="24"/>
                <w:szCs w:val="24"/>
              </w:rPr>
              <w:t xml:space="preserve"> 4</w:t>
            </w:r>
          </w:p>
        </w:tc>
      </w:tr>
      <w:tr w:rsidR="009C4AE1" w:rsidRPr="00842264" w14:paraId="0B337055" w14:textId="77777777" w:rsidTr="00E41B4F">
        <w:tc>
          <w:tcPr>
            <w:tcW w:w="2710" w:type="pct"/>
            <w:tcBorders>
              <w:top w:val="nil"/>
              <w:left w:val="nil"/>
              <w:bottom w:val="single" w:sz="4" w:space="0" w:color="auto"/>
              <w:right w:val="nil"/>
            </w:tcBorders>
          </w:tcPr>
          <w:p w14:paraId="61586A53"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rPr>
            </w:pPr>
          </w:p>
        </w:tc>
        <w:tc>
          <w:tcPr>
            <w:tcW w:w="572" w:type="pct"/>
            <w:tcBorders>
              <w:top w:val="nil"/>
              <w:left w:val="nil"/>
              <w:bottom w:val="single" w:sz="6" w:space="0" w:color="auto"/>
              <w:right w:val="nil"/>
            </w:tcBorders>
          </w:tcPr>
          <w:p w14:paraId="17F3E026" w14:textId="77777777" w:rsidR="009C4AE1" w:rsidRPr="00B17E1A" w:rsidRDefault="009C4AE1" w:rsidP="00BA7963">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Coef</w:t>
            </w:r>
            <w:proofErr w:type="spellEnd"/>
            <w:r>
              <w:rPr>
                <w:rFonts w:ascii="Times New Roman" w:hAnsi="Times New Roman" w:cs="Times New Roman"/>
                <w:sz w:val="24"/>
                <w:szCs w:val="24"/>
              </w:rPr>
              <w:t>.</w:t>
            </w:r>
          </w:p>
        </w:tc>
        <w:tc>
          <w:tcPr>
            <w:tcW w:w="573" w:type="pct"/>
            <w:tcBorders>
              <w:top w:val="nil"/>
              <w:left w:val="nil"/>
              <w:bottom w:val="single" w:sz="6" w:space="0" w:color="auto"/>
              <w:right w:val="nil"/>
            </w:tcBorders>
          </w:tcPr>
          <w:p w14:paraId="01EADE29" w14:textId="77777777" w:rsidR="009C4AE1" w:rsidRPr="00B17E1A"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Std Err.</w:t>
            </w:r>
          </w:p>
        </w:tc>
        <w:tc>
          <w:tcPr>
            <w:tcW w:w="572" w:type="pct"/>
            <w:tcBorders>
              <w:top w:val="nil"/>
              <w:left w:val="nil"/>
              <w:bottom w:val="single" w:sz="6" w:space="0" w:color="auto"/>
              <w:right w:val="nil"/>
            </w:tcBorders>
          </w:tcPr>
          <w:p w14:paraId="2A5981E5" w14:textId="77777777" w:rsidR="009C4AE1" w:rsidRPr="00B17E1A" w:rsidRDefault="009C4AE1" w:rsidP="00BA7963">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Coef</w:t>
            </w:r>
            <w:proofErr w:type="spellEnd"/>
            <w:r>
              <w:rPr>
                <w:rFonts w:ascii="Times New Roman" w:hAnsi="Times New Roman" w:cs="Times New Roman"/>
                <w:sz w:val="24"/>
                <w:szCs w:val="24"/>
              </w:rPr>
              <w:t>.</w:t>
            </w:r>
          </w:p>
        </w:tc>
        <w:tc>
          <w:tcPr>
            <w:tcW w:w="572" w:type="pct"/>
            <w:tcBorders>
              <w:top w:val="nil"/>
              <w:left w:val="nil"/>
              <w:bottom w:val="single" w:sz="6" w:space="0" w:color="auto"/>
              <w:right w:val="nil"/>
            </w:tcBorders>
          </w:tcPr>
          <w:p w14:paraId="46D8EE1C" w14:textId="77777777" w:rsidR="009C4AE1" w:rsidRPr="00B17E1A"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Std Err.</w:t>
            </w:r>
          </w:p>
        </w:tc>
      </w:tr>
      <w:tr w:rsidR="009C4AE1" w:rsidRPr="00675299" w14:paraId="15EB063D" w14:textId="77777777" w:rsidTr="00E41B4F">
        <w:tc>
          <w:tcPr>
            <w:tcW w:w="2710" w:type="pct"/>
            <w:tcBorders>
              <w:top w:val="nil"/>
              <w:left w:val="nil"/>
              <w:bottom w:val="nil"/>
              <w:right w:val="nil"/>
            </w:tcBorders>
          </w:tcPr>
          <w:p w14:paraId="4F691D48"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sidRPr="00842264">
              <w:rPr>
                <w:rFonts w:ascii="Times New Roman" w:hAnsi="Times New Roman" w:cs="Times New Roman"/>
                <w:sz w:val="24"/>
                <w:szCs w:val="24"/>
                <w:lang w:val="en-US"/>
              </w:rPr>
              <w:t xml:space="preserve">Emission reduction </w:t>
            </w:r>
            <w:r>
              <w:rPr>
                <w:rFonts w:ascii="Times New Roman" w:hAnsi="Times New Roman" w:cs="Times New Roman"/>
                <w:sz w:val="24"/>
                <w:szCs w:val="24"/>
                <w:lang w:val="en-US"/>
              </w:rPr>
              <w:t xml:space="preserve">– </w:t>
            </w:r>
            <w:r w:rsidRPr="00842264">
              <w:rPr>
                <w:rFonts w:ascii="Times New Roman" w:hAnsi="Times New Roman" w:cs="Times New Roman"/>
                <w:sz w:val="24"/>
                <w:szCs w:val="24"/>
                <w:lang w:val="en-US"/>
              </w:rPr>
              <w:t>Buyer asymmetry</w:t>
            </w:r>
            <w:r>
              <w:rPr>
                <w:rFonts w:ascii="Times New Roman" w:hAnsi="Times New Roman" w:cs="Times New Roman"/>
                <w:sz w:val="24"/>
                <w:szCs w:val="24"/>
                <w:lang w:val="en-US"/>
              </w:rPr>
              <w:t xml:space="preserve"> (degree &amp; direction)</w:t>
            </w:r>
          </w:p>
        </w:tc>
        <w:tc>
          <w:tcPr>
            <w:tcW w:w="572" w:type="pct"/>
            <w:tcBorders>
              <w:top w:val="nil"/>
              <w:left w:val="nil"/>
              <w:bottom w:val="nil"/>
              <w:right w:val="nil"/>
            </w:tcBorders>
          </w:tcPr>
          <w:p w14:paraId="0E953A09"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-0.0058</w:t>
            </w:r>
          </w:p>
        </w:tc>
        <w:tc>
          <w:tcPr>
            <w:tcW w:w="573" w:type="pct"/>
            <w:tcBorders>
              <w:top w:val="nil"/>
              <w:left w:val="nil"/>
              <w:bottom w:val="nil"/>
              <w:right w:val="nil"/>
            </w:tcBorders>
          </w:tcPr>
          <w:p w14:paraId="0DE02DCF"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(0.005)</w:t>
            </w:r>
          </w:p>
        </w:tc>
        <w:tc>
          <w:tcPr>
            <w:tcW w:w="572" w:type="pct"/>
            <w:tcBorders>
              <w:top w:val="nil"/>
              <w:left w:val="nil"/>
              <w:bottom w:val="nil"/>
              <w:right w:val="nil"/>
            </w:tcBorders>
          </w:tcPr>
          <w:p w14:paraId="6C4A1D10"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-0.1190***</w:t>
            </w:r>
          </w:p>
        </w:tc>
        <w:tc>
          <w:tcPr>
            <w:tcW w:w="572" w:type="pct"/>
            <w:tcBorders>
              <w:top w:val="nil"/>
              <w:left w:val="nil"/>
              <w:bottom w:val="nil"/>
              <w:right w:val="nil"/>
            </w:tcBorders>
          </w:tcPr>
          <w:p w14:paraId="7249D7DC"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(0.045)</w:t>
            </w:r>
          </w:p>
        </w:tc>
      </w:tr>
      <w:tr w:rsidR="009C4AE1" w:rsidRPr="00BD3187" w14:paraId="5BFFAF1D" w14:textId="77777777" w:rsidTr="00E41B4F">
        <w:tc>
          <w:tcPr>
            <w:tcW w:w="2710" w:type="pct"/>
            <w:tcBorders>
              <w:top w:val="nil"/>
              <w:left w:val="nil"/>
              <w:bottom w:val="nil"/>
              <w:right w:val="nil"/>
            </w:tcBorders>
          </w:tcPr>
          <w:p w14:paraId="745B1A9D"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sidRPr="00842264">
              <w:rPr>
                <w:rFonts w:ascii="Times New Roman" w:hAnsi="Times New Roman" w:cs="Times New Roman"/>
                <w:sz w:val="24"/>
                <w:szCs w:val="24"/>
                <w:lang w:val="en-US"/>
              </w:rPr>
              <w:t xml:space="preserve">Emission reduction </w:t>
            </w:r>
            <w:r>
              <w:rPr>
                <w:rFonts w:ascii="Times New Roman" w:hAnsi="Times New Roman" w:cs="Times New Roman"/>
                <w:sz w:val="24"/>
                <w:szCs w:val="24"/>
                <w:lang w:val="en-US"/>
              </w:rPr>
              <w:t>– Supplier</w:t>
            </w:r>
            <w:r w:rsidRPr="00842264">
              <w:rPr>
                <w:rFonts w:ascii="Times New Roman" w:hAnsi="Times New Roman" w:cs="Times New Roman"/>
                <w:sz w:val="24"/>
                <w:szCs w:val="24"/>
                <w:lang w:val="en-US"/>
              </w:rPr>
              <w:t xml:space="preserve"> asymmetry</w:t>
            </w:r>
            <w:r>
              <w:rPr>
                <w:rFonts w:ascii="Times New Roman" w:hAnsi="Times New Roman" w:cs="Times New Roman"/>
                <w:sz w:val="24"/>
                <w:szCs w:val="24"/>
                <w:lang w:val="en-US"/>
              </w:rPr>
              <w:t xml:space="preserve"> (degree &amp; direction)</w:t>
            </w:r>
          </w:p>
        </w:tc>
        <w:tc>
          <w:tcPr>
            <w:tcW w:w="572" w:type="pct"/>
            <w:tcBorders>
              <w:top w:val="nil"/>
              <w:left w:val="nil"/>
              <w:bottom w:val="nil"/>
              <w:right w:val="nil"/>
            </w:tcBorders>
          </w:tcPr>
          <w:p w14:paraId="6618EBAC"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-0.0123**</w:t>
            </w:r>
          </w:p>
        </w:tc>
        <w:tc>
          <w:tcPr>
            <w:tcW w:w="573" w:type="pct"/>
            <w:tcBorders>
              <w:top w:val="nil"/>
              <w:left w:val="nil"/>
              <w:bottom w:val="nil"/>
              <w:right w:val="nil"/>
            </w:tcBorders>
          </w:tcPr>
          <w:p w14:paraId="65162263"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(0.006)</w:t>
            </w:r>
          </w:p>
        </w:tc>
        <w:tc>
          <w:tcPr>
            <w:tcW w:w="572" w:type="pct"/>
            <w:tcBorders>
              <w:top w:val="nil"/>
              <w:left w:val="nil"/>
              <w:bottom w:val="nil"/>
              <w:right w:val="nil"/>
            </w:tcBorders>
          </w:tcPr>
          <w:p w14:paraId="1D32284D"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sidRPr="00413DDD">
              <w:rPr>
                <w:rFonts w:ascii="Times New Roman" w:hAnsi="Times New Roman" w:cs="Times New Roman"/>
                <w:sz w:val="24"/>
                <w:szCs w:val="24"/>
                <w:lang w:val="en-US"/>
              </w:rPr>
              <w:t>-0.1461***</w:t>
            </w:r>
          </w:p>
        </w:tc>
        <w:tc>
          <w:tcPr>
            <w:tcW w:w="572" w:type="pct"/>
            <w:tcBorders>
              <w:top w:val="nil"/>
              <w:left w:val="nil"/>
              <w:bottom w:val="nil"/>
              <w:right w:val="nil"/>
            </w:tcBorders>
          </w:tcPr>
          <w:p w14:paraId="2840E0E0"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sidRPr="00413DDD">
              <w:rPr>
                <w:rFonts w:ascii="Times New Roman" w:hAnsi="Times New Roman" w:cs="Times New Roman"/>
                <w:sz w:val="24"/>
                <w:szCs w:val="24"/>
                <w:lang w:val="en-US"/>
              </w:rPr>
              <w:t>(0.052)</w:t>
            </w:r>
          </w:p>
        </w:tc>
      </w:tr>
      <w:tr w:rsidR="009C4AE1" w:rsidRPr="00675299" w14:paraId="1FB0B71A" w14:textId="77777777" w:rsidTr="00E41B4F">
        <w:tc>
          <w:tcPr>
            <w:tcW w:w="2710" w:type="pct"/>
            <w:tcBorders>
              <w:top w:val="nil"/>
              <w:left w:val="nil"/>
              <w:bottom w:val="nil"/>
              <w:right w:val="nil"/>
            </w:tcBorders>
          </w:tcPr>
          <w:p w14:paraId="7AEDDF25" w14:textId="77777777" w:rsidR="009C4AE1" w:rsidRPr="008F37B8" w:rsidRDefault="009C4AE1" w:rsidP="00BA7963">
            <w:pPr>
              <w:widowControl w:val="0"/>
              <w:autoSpaceDE w:val="0"/>
              <w:autoSpaceDN w:val="0"/>
              <w:adjustRightInd w:val="0"/>
              <w:spacing w:after="0" w:line="276" w:lineRule="auto"/>
              <w:rPr>
                <w:rFonts w:ascii="Times New Roman" w:hAnsi="Times New Roman" w:cs="Times New Roman"/>
                <w:sz w:val="24"/>
                <w:szCs w:val="24"/>
                <w:lang w:val="en-GB"/>
              </w:rPr>
            </w:pPr>
            <w:r w:rsidRPr="00842264">
              <w:rPr>
                <w:rFonts w:ascii="Times New Roman" w:hAnsi="Times New Roman" w:cs="Times New Roman"/>
                <w:sz w:val="24"/>
                <w:szCs w:val="24"/>
                <w:lang w:val="en-US"/>
              </w:rPr>
              <w:t xml:space="preserve">Resource reduction </w:t>
            </w:r>
            <w:r>
              <w:rPr>
                <w:rFonts w:ascii="Times New Roman" w:hAnsi="Times New Roman" w:cs="Times New Roman"/>
                <w:sz w:val="24"/>
                <w:szCs w:val="24"/>
                <w:lang w:val="en-US"/>
              </w:rPr>
              <w:t xml:space="preserve">– </w:t>
            </w:r>
            <w:r w:rsidRPr="00842264">
              <w:rPr>
                <w:rFonts w:ascii="Times New Roman" w:hAnsi="Times New Roman" w:cs="Times New Roman"/>
                <w:sz w:val="24"/>
                <w:szCs w:val="24"/>
                <w:lang w:val="en-US"/>
              </w:rPr>
              <w:t xml:space="preserve">Buyer asymmetry </w:t>
            </w:r>
            <w:r>
              <w:rPr>
                <w:rFonts w:ascii="Times New Roman" w:hAnsi="Times New Roman" w:cs="Times New Roman"/>
                <w:sz w:val="24"/>
                <w:szCs w:val="24"/>
                <w:lang w:val="en-US"/>
              </w:rPr>
              <w:t>(degree &amp; direction)</w:t>
            </w:r>
          </w:p>
        </w:tc>
        <w:tc>
          <w:tcPr>
            <w:tcW w:w="572" w:type="pct"/>
            <w:tcBorders>
              <w:top w:val="nil"/>
              <w:left w:val="nil"/>
              <w:bottom w:val="nil"/>
              <w:right w:val="nil"/>
            </w:tcBorders>
          </w:tcPr>
          <w:p w14:paraId="12969910"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0.009</w:t>
            </w:r>
            <w:r w:rsidRPr="001C3128">
              <w:rPr>
                <w:rFonts w:ascii="Times New Roman" w:hAnsi="Times New Roman" w:cs="Times New Roman"/>
                <w:sz w:val="24"/>
                <w:szCs w:val="24"/>
              </w:rPr>
              <w:t>2</w:t>
            </w:r>
            <w:r>
              <w:rPr>
                <w:rFonts w:ascii="Times New Roman" w:hAnsi="Times New Roman" w:cs="Times New Roman"/>
                <w:sz w:val="24"/>
                <w:szCs w:val="24"/>
              </w:rPr>
              <w:t>**</w:t>
            </w:r>
          </w:p>
        </w:tc>
        <w:tc>
          <w:tcPr>
            <w:tcW w:w="573" w:type="pct"/>
            <w:tcBorders>
              <w:top w:val="nil"/>
              <w:left w:val="nil"/>
              <w:bottom w:val="nil"/>
              <w:right w:val="nil"/>
            </w:tcBorders>
          </w:tcPr>
          <w:p w14:paraId="367AAFCA"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572" w:type="pct"/>
            <w:tcBorders>
              <w:top w:val="nil"/>
              <w:left w:val="nil"/>
              <w:bottom w:val="nil"/>
              <w:right w:val="nil"/>
            </w:tcBorders>
          </w:tcPr>
          <w:p w14:paraId="1BB69BF8"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-0.0055</w:t>
            </w:r>
          </w:p>
        </w:tc>
        <w:tc>
          <w:tcPr>
            <w:tcW w:w="572" w:type="pct"/>
            <w:tcBorders>
              <w:top w:val="nil"/>
              <w:left w:val="nil"/>
              <w:bottom w:val="nil"/>
              <w:right w:val="nil"/>
            </w:tcBorders>
          </w:tcPr>
          <w:p w14:paraId="478A4CCA"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(0.029)</w:t>
            </w:r>
          </w:p>
        </w:tc>
      </w:tr>
      <w:tr w:rsidR="009C4AE1" w:rsidRPr="00BD3187" w14:paraId="1B5B5852" w14:textId="77777777" w:rsidTr="00E41B4F">
        <w:tc>
          <w:tcPr>
            <w:tcW w:w="2710" w:type="pct"/>
            <w:tcBorders>
              <w:top w:val="nil"/>
              <w:left w:val="nil"/>
              <w:bottom w:val="nil"/>
              <w:right w:val="nil"/>
            </w:tcBorders>
          </w:tcPr>
          <w:p w14:paraId="596D327E" w14:textId="77777777" w:rsidR="009C4AE1" w:rsidRPr="008F37B8" w:rsidRDefault="009C4AE1" w:rsidP="00BA7963">
            <w:pPr>
              <w:widowControl w:val="0"/>
              <w:autoSpaceDE w:val="0"/>
              <w:autoSpaceDN w:val="0"/>
              <w:adjustRightInd w:val="0"/>
              <w:spacing w:after="0" w:line="276" w:lineRule="auto"/>
              <w:rPr>
                <w:rFonts w:ascii="Times New Roman" w:hAnsi="Times New Roman" w:cs="Times New Roman"/>
                <w:sz w:val="24"/>
                <w:szCs w:val="24"/>
                <w:lang w:val="en-GB"/>
              </w:rPr>
            </w:pPr>
            <w:r w:rsidRPr="00842264">
              <w:rPr>
                <w:rFonts w:ascii="Times New Roman" w:hAnsi="Times New Roman" w:cs="Times New Roman"/>
                <w:sz w:val="24"/>
                <w:szCs w:val="24"/>
                <w:lang w:val="en-US"/>
              </w:rPr>
              <w:t xml:space="preserve">Resource reduction </w:t>
            </w:r>
            <w:r>
              <w:rPr>
                <w:rFonts w:ascii="Times New Roman" w:hAnsi="Times New Roman" w:cs="Times New Roman"/>
                <w:sz w:val="24"/>
                <w:szCs w:val="24"/>
                <w:lang w:val="en-US"/>
              </w:rPr>
              <w:t>– Supplier</w:t>
            </w:r>
            <w:r w:rsidRPr="00842264">
              <w:rPr>
                <w:rFonts w:ascii="Times New Roman" w:hAnsi="Times New Roman" w:cs="Times New Roman"/>
                <w:sz w:val="24"/>
                <w:szCs w:val="24"/>
                <w:lang w:val="en-US"/>
              </w:rPr>
              <w:t xml:space="preserve"> asymmetry </w:t>
            </w:r>
            <w:r>
              <w:rPr>
                <w:rFonts w:ascii="Times New Roman" w:hAnsi="Times New Roman" w:cs="Times New Roman"/>
                <w:sz w:val="24"/>
                <w:szCs w:val="24"/>
                <w:lang w:val="en-US"/>
              </w:rPr>
              <w:t>(degree &amp; direction)</w:t>
            </w:r>
          </w:p>
        </w:tc>
        <w:tc>
          <w:tcPr>
            <w:tcW w:w="572" w:type="pct"/>
            <w:tcBorders>
              <w:top w:val="nil"/>
              <w:left w:val="nil"/>
              <w:bottom w:val="nil"/>
              <w:right w:val="nil"/>
            </w:tcBorders>
          </w:tcPr>
          <w:p w14:paraId="4D36E1A4"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0.0084*</w:t>
            </w:r>
          </w:p>
        </w:tc>
        <w:tc>
          <w:tcPr>
            <w:tcW w:w="573" w:type="pct"/>
            <w:tcBorders>
              <w:top w:val="nil"/>
              <w:left w:val="nil"/>
              <w:bottom w:val="nil"/>
              <w:right w:val="nil"/>
            </w:tcBorders>
          </w:tcPr>
          <w:p w14:paraId="4D7B3090"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(0.005)</w:t>
            </w:r>
          </w:p>
        </w:tc>
        <w:tc>
          <w:tcPr>
            <w:tcW w:w="572" w:type="pct"/>
            <w:tcBorders>
              <w:top w:val="nil"/>
              <w:left w:val="nil"/>
              <w:bottom w:val="nil"/>
              <w:right w:val="nil"/>
            </w:tcBorders>
          </w:tcPr>
          <w:p w14:paraId="0A02D1F1"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-0.0341</w:t>
            </w:r>
          </w:p>
        </w:tc>
        <w:tc>
          <w:tcPr>
            <w:tcW w:w="572" w:type="pct"/>
            <w:tcBorders>
              <w:top w:val="nil"/>
              <w:left w:val="nil"/>
              <w:bottom w:val="nil"/>
              <w:right w:val="nil"/>
            </w:tcBorders>
          </w:tcPr>
          <w:p w14:paraId="293CC4EC"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(0.042)</w:t>
            </w:r>
          </w:p>
        </w:tc>
      </w:tr>
      <w:tr w:rsidR="009C4AE1" w:rsidRPr="00675299" w14:paraId="16B211E9" w14:textId="77777777" w:rsidTr="00E41B4F">
        <w:tc>
          <w:tcPr>
            <w:tcW w:w="2710" w:type="pct"/>
            <w:tcBorders>
              <w:top w:val="nil"/>
              <w:left w:val="nil"/>
              <w:bottom w:val="nil"/>
              <w:right w:val="nil"/>
            </w:tcBorders>
          </w:tcPr>
          <w:p w14:paraId="1A57F950" w14:textId="77777777" w:rsidR="009C4AE1" w:rsidRPr="008F37B8" w:rsidRDefault="009C4AE1" w:rsidP="00BA7963">
            <w:pPr>
              <w:widowControl w:val="0"/>
              <w:autoSpaceDE w:val="0"/>
              <w:autoSpaceDN w:val="0"/>
              <w:adjustRightInd w:val="0"/>
              <w:spacing w:after="0" w:line="276" w:lineRule="auto"/>
              <w:rPr>
                <w:rFonts w:ascii="Times New Roman" w:hAnsi="Times New Roman" w:cs="Times New Roman"/>
                <w:sz w:val="24"/>
                <w:szCs w:val="24"/>
                <w:lang w:val="en-GB"/>
              </w:rPr>
            </w:pPr>
            <w:r w:rsidRPr="008F37B8">
              <w:rPr>
                <w:rFonts w:ascii="Times New Roman" w:hAnsi="Times New Roman" w:cs="Times New Roman"/>
                <w:sz w:val="24"/>
                <w:szCs w:val="24"/>
                <w:lang w:val="en-GB"/>
              </w:rPr>
              <w:t xml:space="preserve">Health &amp; safety </w:t>
            </w:r>
            <w:r>
              <w:rPr>
                <w:rFonts w:ascii="Times New Roman" w:hAnsi="Times New Roman" w:cs="Times New Roman"/>
                <w:sz w:val="24"/>
                <w:szCs w:val="24"/>
                <w:lang w:val="en-US"/>
              </w:rPr>
              <w:t xml:space="preserve">– </w:t>
            </w:r>
            <w:r w:rsidRPr="00842264">
              <w:rPr>
                <w:rFonts w:ascii="Times New Roman" w:hAnsi="Times New Roman" w:cs="Times New Roman"/>
                <w:sz w:val="24"/>
                <w:szCs w:val="24"/>
                <w:lang w:val="en-US"/>
              </w:rPr>
              <w:t>Buyer asymmetry</w:t>
            </w:r>
            <w:r>
              <w:rPr>
                <w:rFonts w:ascii="Times New Roman" w:hAnsi="Times New Roman" w:cs="Times New Roman"/>
                <w:sz w:val="24"/>
                <w:szCs w:val="24"/>
                <w:lang w:val="en-US"/>
              </w:rPr>
              <w:t xml:space="preserve"> (degree &amp; direction)</w:t>
            </w:r>
          </w:p>
        </w:tc>
        <w:tc>
          <w:tcPr>
            <w:tcW w:w="572" w:type="pct"/>
            <w:tcBorders>
              <w:top w:val="nil"/>
              <w:left w:val="nil"/>
              <w:bottom w:val="nil"/>
              <w:right w:val="nil"/>
            </w:tcBorders>
          </w:tcPr>
          <w:p w14:paraId="3C043C64"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0.0063*</w:t>
            </w:r>
          </w:p>
        </w:tc>
        <w:tc>
          <w:tcPr>
            <w:tcW w:w="573" w:type="pct"/>
            <w:tcBorders>
              <w:top w:val="nil"/>
              <w:left w:val="nil"/>
              <w:bottom w:val="nil"/>
              <w:right w:val="nil"/>
            </w:tcBorders>
          </w:tcPr>
          <w:p w14:paraId="098DA95D"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572" w:type="pct"/>
            <w:tcBorders>
              <w:top w:val="nil"/>
              <w:left w:val="nil"/>
              <w:bottom w:val="nil"/>
              <w:right w:val="nil"/>
            </w:tcBorders>
          </w:tcPr>
          <w:p w14:paraId="1AA710E1"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0.0111</w:t>
            </w:r>
          </w:p>
        </w:tc>
        <w:tc>
          <w:tcPr>
            <w:tcW w:w="572" w:type="pct"/>
            <w:tcBorders>
              <w:top w:val="nil"/>
              <w:left w:val="nil"/>
              <w:bottom w:val="nil"/>
              <w:right w:val="nil"/>
            </w:tcBorders>
          </w:tcPr>
          <w:p w14:paraId="163F5524"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(0.031)</w:t>
            </w:r>
          </w:p>
        </w:tc>
      </w:tr>
      <w:tr w:rsidR="009C4AE1" w:rsidRPr="00BD3187" w14:paraId="118831C3" w14:textId="77777777" w:rsidTr="00E41B4F">
        <w:tc>
          <w:tcPr>
            <w:tcW w:w="2710" w:type="pct"/>
            <w:tcBorders>
              <w:top w:val="nil"/>
              <w:left w:val="nil"/>
              <w:bottom w:val="nil"/>
              <w:right w:val="nil"/>
            </w:tcBorders>
          </w:tcPr>
          <w:p w14:paraId="4865C43A" w14:textId="77777777" w:rsidR="009C4AE1" w:rsidRPr="008F37B8" w:rsidRDefault="009C4AE1" w:rsidP="00BA7963">
            <w:pPr>
              <w:widowControl w:val="0"/>
              <w:autoSpaceDE w:val="0"/>
              <w:autoSpaceDN w:val="0"/>
              <w:adjustRightInd w:val="0"/>
              <w:spacing w:after="0" w:line="276" w:lineRule="auto"/>
              <w:rPr>
                <w:rFonts w:ascii="Times New Roman" w:hAnsi="Times New Roman" w:cs="Times New Roman"/>
                <w:sz w:val="24"/>
                <w:szCs w:val="24"/>
                <w:lang w:val="en-GB"/>
              </w:rPr>
            </w:pPr>
            <w:r w:rsidRPr="008F37B8">
              <w:rPr>
                <w:rFonts w:ascii="Times New Roman" w:hAnsi="Times New Roman" w:cs="Times New Roman"/>
                <w:sz w:val="24"/>
                <w:szCs w:val="24"/>
                <w:lang w:val="en-GB"/>
              </w:rPr>
              <w:t xml:space="preserve">Health &amp; safety </w:t>
            </w:r>
            <w:r>
              <w:rPr>
                <w:rFonts w:ascii="Times New Roman" w:hAnsi="Times New Roman" w:cs="Times New Roman"/>
                <w:sz w:val="24"/>
                <w:szCs w:val="24"/>
                <w:lang w:val="en-US"/>
              </w:rPr>
              <w:t>– Supplier</w:t>
            </w:r>
            <w:r w:rsidRPr="00842264">
              <w:rPr>
                <w:rFonts w:ascii="Times New Roman" w:hAnsi="Times New Roman" w:cs="Times New Roman"/>
                <w:sz w:val="24"/>
                <w:szCs w:val="24"/>
                <w:lang w:val="en-US"/>
              </w:rPr>
              <w:t xml:space="preserve"> asymmetry</w:t>
            </w:r>
            <w:r>
              <w:rPr>
                <w:rFonts w:ascii="Times New Roman" w:hAnsi="Times New Roman" w:cs="Times New Roman"/>
                <w:sz w:val="24"/>
                <w:szCs w:val="24"/>
                <w:lang w:val="en-US"/>
              </w:rPr>
              <w:t xml:space="preserve"> (degree &amp; direction)</w:t>
            </w:r>
          </w:p>
        </w:tc>
        <w:tc>
          <w:tcPr>
            <w:tcW w:w="572" w:type="pct"/>
            <w:tcBorders>
              <w:top w:val="nil"/>
              <w:left w:val="nil"/>
              <w:bottom w:val="nil"/>
              <w:right w:val="nil"/>
            </w:tcBorders>
          </w:tcPr>
          <w:p w14:paraId="0325C1D6"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0.0059</w:t>
            </w:r>
          </w:p>
        </w:tc>
        <w:tc>
          <w:tcPr>
            <w:tcW w:w="573" w:type="pct"/>
            <w:tcBorders>
              <w:top w:val="nil"/>
              <w:left w:val="nil"/>
              <w:bottom w:val="nil"/>
              <w:right w:val="nil"/>
            </w:tcBorders>
          </w:tcPr>
          <w:p w14:paraId="5A89DD45"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(0.005)</w:t>
            </w:r>
          </w:p>
        </w:tc>
        <w:tc>
          <w:tcPr>
            <w:tcW w:w="572" w:type="pct"/>
            <w:tcBorders>
              <w:top w:val="nil"/>
              <w:left w:val="nil"/>
              <w:bottom w:val="nil"/>
              <w:right w:val="nil"/>
            </w:tcBorders>
          </w:tcPr>
          <w:p w14:paraId="75FA988D"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-0.0336</w:t>
            </w:r>
          </w:p>
        </w:tc>
        <w:tc>
          <w:tcPr>
            <w:tcW w:w="572" w:type="pct"/>
            <w:tcBorders>
              <w:top w:val="nil"/>
              <w:left w:val="nil"/>
              <w:bottom w:val="nil"/>
              <w:right w:val="nil"/>
            </w:tcBorders>
          </w:tcPr>
          <w:p w14:paraId="29BB4D10"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(0.044)</w:t>
            </w:r>
          </w:p>
        </w:tc>
      </w:tr>
      <w:tr w:rsidR="009C4AE1" w:rsidRPr="00675299" w14:paraId="5779124A" w14:textId="77777777" w:rsidTr="00E41B4F">
        <w:tc>
          <w:tcPr>
            <w:tcW w:w="2710" w:type="pct"/>
            <w:tcBorders>
              <w:top w:val="nil"/>
              <w:left w:val="nil"/>
              <w:bottom w:val="nil"/>
              <w:right w:val="nil"/>
            </w:tcBorders>
          </w:tcPr>
          <w:p w14:paraId="30E9BC3D" w14:textId="77777777" w:rsidR="009C4AE1" w:rsidRPr="008F37B8" w:rsidRDefault="009C4AE1" w:rsidP="00BA7963">
            <w:pPr>
              <w:widowControl w:val="0"/>
              <w:autoSpaceDE w:val="0"/>
              <w:autoSpaceDN w:val="0"/>
              <w:adjustRightInd w:val="0"/>
              <w:spacing w:after="0" w:line="276" w:lineRule="auto"/>
              <w:rPr>
                <w:rFonts w:ascii="Times New Roman" w:hAnsi="Times New Roman" w:cs="Times New Roman"/>
                <w:sz w:val="24"/>
                <w:szCs w:val="24"/>
                <w:lang w:val="en-GB"/>
              </w:rPr>
            </w:pPr>
            <w:r w:rsidRPr="008F37B8">
              <w:rPr>
                <w:rFonts w:ascii="Times New Roman" w:hAnsi="Times New Roman" w:cs="Times New Roman"/>
                <w:sz w:val="24"/>
                <w:szCs w:val="24"/>
                <w:lang w:val="en-GB"/>
              </w:rPr>
              <w:t>Human rights</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 </w:t>
            </w:r>
            <w:r w:rsidRPr="00842264">
              <w:rPr>
                <w:rFonts w:ascii="Times New Roman" w:hAnsi="Times New Roman" w:cs="Times New Roman"/>
                <w:sz w:val="24"/>
                <w:szCs w:val="24"/>
                <w:lang w:val="en-US"/>
              </w:rPr>
              <w:t>Buyer asymmetry</w:t>
            </w:r>
            <w:r>
              <w:rPr>
                <w:rFonts w:ascii="Times New Roman" w:hAnsi="Times New Roman" w:cs="Times New Roman"/>
                <w:sz w:val="24"/>
                <w:szCs w:val="24"/>
                <w:lang w:val="en-US"/>
              </w:rPr>
              <w:t xml:space="preserve"> (degree &amp; direction)</w:t>
            </w:r>
          </w:p>
        </w:tc>
        <w:tc>
          <w:tcPr>
            <w:tcW w:w="572" w:type="pct"/>
            <w:tcBorders>
              <w:top w:val="nil"/>
              <w:left w:val="nil"/>
              <w:bottom w:val="nil"/>
              <w:right w:val="nil"/>
            </w:tcBorders>
          </w:tcPr>
          <w:p w14:paraId="11E7450F"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-0.0019</w:t>
            </w:r>
          </w:p>
        </w:tc>
        <w:tc>
          <w:tcPr>
            <w:tcW w:w="573" w:type="pct"/>
            <w:tcBorders>
              <w:top w:val="nil"/>
              <w:left w:val="nil"/>
              <w:bottom w:val="nil"/>
              <w:right w:val="nil"/>
            </w:tcBorders>
          </w:tcPr>
          <w:p w14:paraId="7050FC34"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(0.003)</w:t>
            </w:r>
          </w:p>
        </w:tc>
        <w:tc>
          <w:tcPr>
            <w:tcW w:w="572" w:type="pct"/>
            <w:tcBorders>
              <w:top w:val="nil"/>
              <w:left w:val="nil"/>
              <w:bottom w:val="nil"/>
              <w:right w:val="nil"/>
            </w:tcBorders>
          </w:tcPr>
          <w:p w14:paraId="6DE85A16"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-0.0182</w:t>
            </w:r>
          </w:p>
        </w:tc>
        <w:tc>
          <w:tcPr>
            <w:tcW w:w="572" w:type="pct"/>
            <w:tcBorders>
              <w:top w:val="nil"/>
              <w:left w:val="nil"/>
              <w:bottom w:val="nil"/>
              <w:right w:val="nil"/>
            </w:tcBorders>
          </w:tcPr>
          <w:p w14:paraId="05D5004C"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(0.030)</w:t>
            </w:r>
          </w:p>
        </w:tc>
      </w:tr>
      <w:tr w:rsidR="009C4AE1" w:rsidRPr="00BD3187" w14:paraId="5AA61F82" w14:textId="77777777" w:rsidTr="00E41B4F">
        <w:tc>
          <w:tcPr>
            <w:tcW w:w="2710" w:type="pct"/>
            <w:tcBorders>
              <w:top w:val="nil"/>
              <w:left w:val="nil"/>
              <w:bottom w:val="nil"/>
              <w:right w:val="nil"/>
            </w:tcBorders>
          </w:tcPr>
          <w:p w14:paraId="5ABF80F1" w14:textId="77777777" w:rsidR="009C4AE1" w:rsidRPr="008F37B8" w:rsidRDefault="009C4AE1" w:rsidP="00BA7963">
            <w:pPr>
              <w:widowControl w:val="0"/>
              <w:autoSpaceDE w:val="0"/>
              <w:autoSpaceDN w:val="0"/>
              <w:adjustRightInd w:val="0"/>
              <w:spacing w:after="0" w:line="276" w:lineRule="auto"/>
              <w:rPr>
                <w:rFonts w:ascii="Times New Roman" w:hAnsi="Times New Roman" w:cs="Times New Roman"/>
                <w:sz w:val="24"/>
                <w:szCs w:val="24"/>
                <w:lang w:val="en-GB"/>
              </w:rPr>
            </w:pPr>
            <w:r w:rsidRPr="008F37B8">
              <w:rPr>
                <w:rFonts w:ascii="Times New Roman" w:hAnsi="Times New Roman" w:cs="Times New Roman"/>
                <w:sz w:val="24"/>
                <w:szCs w:val="24"/>
                <w:lang w:val="en-GB"/>
              </w:rPr>
              <w:t>Human rights</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Supplier</w:t>
            </w:r>
            <w:r w:rsidRPr="00842264">
              <w:rPr>
                <w:rFonts w:ascii="Times New Roman" w:hAnsi="Times New Roman" w:cs="Times New Roman"/>
                <w:sz w:val="24"/>
                <w:szCs w:val="24"/>
                <w:lang w:val="en-US"/>
              </w:rPr>
              <w:t xml:space="preserve"> asymmetry</w:t>
            </w:r>
            <w:r>
              <w:rPr>
                <w:rFonts w:ascii="Times New Roman" w:hAnsi="Times New Roman" w:cs="Times New Roman"/>
                <w:sz w:val="24"/>
                <w:szCs w:val="24"/>
                <w:lang w:val="en-US"/>
              </w:rPr>
              <w:t xml:space="preserve"> (degree &amp; direction)</w:t>
            </w:r>
          </w:p>
        </w:tc>
        <w:tc>
          <w:tcPr>
            <w:tcW w:w="572" w:type="pct"/>
            <w:tcBorders>
              <w:top w:val="nil"/>
              <w:left w:val="nil"/>
              <w:bottom w:val="nil"/>
              <w:right w:val="nil"/>
            </w:tcBorders>
          </w:tcPr>
          <w:p w14:paraId="7FC27224"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-0.0045</w:t>
            </w:r>
          </w:p>
        </w:tc>
        <w:tc>
          <w:tcPr>
            <w:tcW w:w="573" w:type="pct"/>
            <w:tcBorders>
              <w:top w:val="nil"/>
              <w:left w:val="nil"/>
              <w:bottom w:val="nil"/>
              <w:right w:val="nil"/>
            </w:tcBorders>
          </w:tcPr>
          <w:p w14:paraId="61A1D20D"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572" w:type="pct"/>
            <w:tcBorders>
              <w:top w:val="nil"/>
              <w:left w:val="nil"/>
              <w:bottom w:val="nil"/>
              <w:right w:val="nil"/>
            </w:tcBorders>
          </w:tcPr>
          <w:p w14:paraId="18042A0C"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0.0262</w:t>
            </w:r>
          </w:p>
        </w:tc>
        <w:tc>
          <w:tcPr>
            <w:tcW w:w="572" w:type="pct"/>
            <w:tcBorders>
              <w:top w:val="nil"/>
              <w:left w:val="nil"/>
              <w:bottom w:val="nil"/>
              <w:right w:val="nil"/>
            </w:tcBorders>
          </w:tcPr>
          <w:p w14:paraId="72CDC25B" w14:textId="77777777" w:rsidR="009C4AE1" w:rsidRPr="00BD3187"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(0.035)</w:t>
            </w:r>
          </w:p>
        </w:tc>
      </w:tr>
      <w:tr w:rsidR="009C4AE1" w:rsidRPr="00842264" w14:paraId="4A7BDB12" w14:textId="77777777" w:rsidTr="00E41B4F">
        <w:tc>
          <w:tcPr>
            <w:tcW w:w="2710" w:type="pct"/>
            <w:tcBorders>
              <w:top w:val="nil"/>
              <w:left w:val="nil"/>
              <w:bottom w:val="nil"/>
              <w:right w:val="nil"/>
            </w:tcBorders>
          </w:tcPr>
          <w:p w14:paraId="3213A135"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sidRPr="00842264">
              <w:rPr>
                <w:rFonts w:ascii="Times New Roman" w:hAnsi="Times New Roman" w:cs="Times New Roman"/>
                <w:sz w:val="24"/>
                <w:szCs w:val="24"/>
                <w:lang w:val="en-US"/>
              </w:rPr>
              <w:t>Buyer size</w:t>
            </w:r>
          </w:p>
        </w:tc>
        <w:tc>
          <w:tcPr>
            <w:tcW w:w="572" w:type="pct"/>
            <w:tcBorders>
              <w:top w:val="nil"/>
              <w:left w:val="nil"/>
              <w:bottom w:val="nil"/>
              <w:right w:val="nil"/>
            </w:tcBorders>
          </w:tcPr>
          <w:p w14:paraId="361C4612"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0.0362***</w:t>
            </w:r>
          </w:p>
        </w:tc>
        <w:tc>
          <w:tcPr>
            <w:tcW w:w="573" w:type="pct"/>
            <w:tcBorders>
              <w:top w:val="nil"/>
              <w:left w:val="nil"/>
              <w:bottom w:val="nil"/>
              <w:right w:val="nil"/>
            </w:tcBorders>
          </w:tcPr>
          <w:p w14:paraId="75B8F5E1"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(0.007)</w:t>
            </w:r>
          </w:p>
        </w:tc>
        <w:tc>
          <w:tcPr>
            <w:tcW w:w="572" w:type="pct"/>
            <w:tcBorders>
              <w:top w:val="nil"/>
              <w:left w:val="nil"/>
              <w:bottom w:val="nil"/>
              <w:right w:val="nil"/>
            </w:tcBorders>
          </w:tcPr>
          <w:p w14:paraId="53BDB4AB"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0.3282***</w:t>
            </w:r>
          </w:p>
        </w:tc>
        <w:tc>
          <w:tcPr>
            <w:tcW w:w="572" w:type="pct"/>
            <w:tcBorders>
              <w:top w:val="nil"/>
              <w:left w:val="nil"/>
              <w:bottom w:val="nil"/>
              <w:right w:val="nil"/>
            </w:tcBorders>
          </w:tcPr>
          <w:p w14:paraId="2FC8EEBF"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(0.066)</w:t>
            </w:r>
          </w:p>
        </w:tc>
      </w:tr>
      <w:tr w:rsidR="009C4AE1" w:rsidRPr="00842264" w14:paraId="50A09B5C" w14:textId="77777777" w:rsidTr="00E41B4F">
        <w:tc>
          <w:tcPr>
            <w:tcW w:w="2710" w:type="pct"/>
            <w:tcBorders>
              <w:top w:val="nil"/>
              <w:left w:val="nil"/>
              <w:bottom w:val="nil"/>
              <w:right w:val="nil"/>
            </w:tcBorders>
          </w:tcPr>
          <w:p w14:paraId="0C901889"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sidRPr="00842264">
              <w:rPr>
                <w:rFonts w:ascii="Times New Roman" w:hAnsi="Times New Roman" w:cs="Times New Roman"/>
                <w:sz w:val="24"/>
                <w:szCs w:val="24"/>
                <w:lang w:val="en-US"/>
              </w:rPr>
              <w:t>Buye</w:t>
            </w:r>
            <w:r>
              <w:rPr>
                <w:rFonts w:ascii="Times New Roman" w:hAnsi="Times New Roman" w:cs="Times New Roman"/>
                <w:sz w:val="24"/>
                <w:szCs w:val="24"/>
                <w:lang w:val="en-US"/>
              </w:rPr>
              <w:t>r</w:t>
            </w:r>
            <w:r w:rsidRPr="00842264">
              <w:rPr>
                <w:rFonts w:ascii="Times New Roman" w:hAnsi="Times New Roman" w:cs="Times New Roman"/>
                <w:sz w:val="24"/>
                <w:szCs w:val="24"/>
                <w:lang w:val="en-US"/>
              </w:rPr>
              <w:t xml:space="preserve"> leverage</w:t>
            </w:r>
          </w:p>
        </w:tc>
        <w:tc>
          <w:tcPr>
            <w:tcW w:w="572" w:type="pct"/>
            <w:tcBorders>
              <w:top w:val="nil"/>
              <w:left w:val="nil"/>
              <w:bottom w:val="nil"/>
              <w:right w:val="nil"/>
            </w:tcBorders>
          </w:tcPr>
          <w:p w14:paraId="0F09EED4"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0.0008</w:t>
            </w:r>
          </w:p>
        </w:tc>
        <w:tc>
          <w:tcPr>
            <w:tcW w:w="573" w:type="pct"/>
            <w:tcBorders>
              <w:top w:val="nil"/>
              <w:left w:val="nil"/>
              <w:bottom w:val="nil"/>
              <w:right w:val="nil"/>
            </w:tcBorders>
          </w:tcPr>
          <w:p w14:paraId="0B1BF131"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c>
          <w:tcPr>
            <w:tcW w:w="572" w:type="pct"/>
            <w:tcBorders>
              <w:top w:val="nil"/>
              <w:left w:val="nil"/>
              <w:bottom w:val="nil"/>
              <w:right w:val="nil"/>
            </w:tcBorders>
          </w:tcPr>
          <w:p w14:paraId="4A00A4CA"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0.0069</w:t>
            </w:r>
          </w:p>
        </w:tc>
        <w:tc>
          <w:tcPr>
            <w:tcW w:w="572" w:type="pct"/>
            <w:tcBorders>
              <w:top w:val="nil"/>
              <w:left w:val="nil"/>
              <w:bottom w:val="nil"/>
              <w:right w:val="nil"/>
            </w:tcBorders>
          </w:tcPr>
          <w:p w14:paraId="15BEB7DF"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(0.012)</w:t>
            </w:r>
          </w:p>
        </w:tc>
      </w:tr>
      <w:tr w:rsidR="009C4AE1" w:rsidRPr="00842264" w14:paraId="5575C334" w14:textId="77777777" w:rsidTr="00E41B4F">
        <w:tc>
          <w:tcPr>
            <w:tcW w:w="2710" w:type="pct"/>
            <w:tcBorders>
              <w:top w:val="nil"/>
              <w:left w:val="nil"/>
              <w:bottom w:val="nil"/>
              <w:right w:val="nil"/>
            </w:tcBorders>
          </w:tcPr>
          <w:p w14:paraId="3C74FED9"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sidRPr="00842264">
              <w:rPr>
                <w:rFonts w:ascii="Times New Roman" w:hAnsi="Times New Roman" w:cs="Times New Roman"/>
                <w:sz w:val="24"/>
                <w:szCs w:val="24"/>
                <w:lang w:val="en-US"/>
              </w:rPr>
              <w:t>Buyer market share</w:t>
            </w:r>
          </w:p>
        </w:tc>
        <w:tc>
          <w:tcPr>
            <w:tcW w:w="572" w:type="pct"/>
            <w:tcBorders>
              <w:top w:val="nil"/>
              <w:left w:val="nil"/>
              <w:bottom w:val="nil"/>
              <w:right w:val="nil"/>
            </w:tcBorders>
          </w:tcPr>
          <w:p w14:paraId="6F61B048"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0.0004</w:t>
            </w:r>
          </w:p>
        </w:tc>
        <w:tc>
          <w:tcPr>
            <w:tcW w:w="573" w:type="pct"/>
            <w:tcBorders>
              <w:top w:val="nil"/>
              <w:left w:val="nil"/>
              <w:bottom w:val="nil"/>
              <w:right w:val="nil"/>
            </w:tcBorders>
          </w:tcPr>
          <w:p w14:paraId="11B4B81D"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c>
          <w:tcPr>
            <w:tcW w:w="572" w:type="pct"/>
            <w:tcBorders>
              <w:top w:val="nil"/>
              <w:left w:val="nil"/>
              <w:bottom w:val="nil"/>
              <w:right w:val="nil"/>
            </w:tcBorders>
          </w:tcPr>
          <w:p w14:paraId="5D07F10C"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0.0050</w:t>
            </w:r>
          </w:p>
        </w:tc>
        <w:tc>
          <w:tcPr>
            <w:tcW w:w="572" w:type="pct"/>
            <w:tcBorders>
              <w:top w:val="nil"/>
              <w:left w:val="nil"/>
              <w:bottom w:val="nil"/>
              <w:right w:val="nil"/>
            </w:tcBorders>
          </w:tcPr>
          <w:p w14:paraId="14B74243"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(0.004)</w:t>
            </w:r>
          </w:p>
        </w:tc>
      </w:tr>
      <w:tr w:rsidR="009C4AE1" w:rsidRPr="00842264" w14:paraId="4992E322" w14:textId="77777777" w:rsidTr="00E41B4F">
        <w:tc>
          <w:tcPr>
            <w:tcW w:w="2710" w:type="pct"/>
            <w:tcBorders>
              <w:top w:val="nil"/>
              <w:left w:val="nil"/>
              <w:bottom w:val="nil"/>
              <w:right w:val="nil"/>
            </w:tcBorders>
          </w:tcPr>
          <w:p w14:paraId="21CE8AF1"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842264">
              <w:rPr>
                <w:rFonts w:ascii="Times New Roman" w:hAnsi="Times New Roman" w:cs="Times New Roman"/>
                <w:sz w:val="24"/>
                <w:szCs w:val="24"/>
                <w:lang w:val="en-US"/>
              </w:rPr>
              <w:t xml:space="preserve">Buyer business </w:t>
            </w:r>
            <w:r>
              <w:rPr>
                <w:rFonts w:ascii="Times New Roman" w:hAnsi="Times New Roman" w:cs="Times New Roman"/>
                <w:sz w:val="24"/>
                <w:szCs w:val="24"/>
                <w:lang w:val="en-US"/>
              </w:rPr>
              <w:t>diversification</w:t>
            </w:r>
          </w:p>
        </w:tc>
        <w:tc>
          <w:tcPr>
            <w:tcW w:w="572" w:type="pct"/>
            <w:tcBorders>
              <w:top w:val="nil"/>
              <w:left w:val="nil"/>
              <w:bottom w:val="nil"/>
              <w:right w:val="nil"/>
            </w:tcBorders>
          </w:tcPr>
          <w:p w14:paraId="0BB50C5B"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-0.0012</w:t>
            </w:r>
          </w:p>
        </w:tc>
        <w:tc>
          <w:tcPr>
            <w:tcW w:w="573" w:type="pct"/>
            <w:tcBorders>
              <w:top w:val="nil"/>
              <w:left w:val="nil"/>
              <w:bottom w:val="nil"/>
              <w:right w:val="nil"/>
            </w:tcBorders>
          </w:tcPr>
          <w:p w14:paraId="3BA7B981"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(0.002)</w:t>
            </w:r>
          </w:p>
        </w:tc>
        <w:tc>
          <w:tcPr>
            <w:tcW w:w="572" w:type="pct"/>
            <w:tcBorders>
              <w:top w:val="nil"/>
              <w:left w:val="nil"/>
              <w:bottom w:val="nil"/>
              <w:right w:val="nil"/>
            </w:tcBorders>
          </w:tcPr>
          <w:p w14:paraId="2C84576A"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0.0137</w:t>
            </w:r>
          </w:p>
        </w:tc>
        <w:tc>
          <w:tcPr>
            <w:tcW w:w="572" w:type="pct"/>
            <w:tcBorders>
              <w:top w:val="nil"/>
              <w:left w:val="nil"/>
              <w:bottom w:val="nil"/>
              <w:right w:val="nil"/>
            </w:tcBorders>
          </w:tcPr>
          <w:p w14:paraId="6C1A5745"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(0.021)</w:t>
            </w:r>
          </w:p>
        </w:tc>
      </w:tr>
      <w:tr w:rsidR="009C4AE1" w:rsidRPr="00842264" w14:paraId="43E464C4" w14:textId="77777777" w:rsidTr="00E41B4F">
        <w:tc>
          <w:tcPr>
            <w:tcW w:w="2710" w:type="pct"/>
            <w:tcBorders>
              <w:top w:val="nil"/>
              <w:left w:val="nil"/>
              <w:bottom w:val="nil"/>
              <w:right w:val="nil"/>
            </w:tcBorders>
          </w:tcPr>
          <w:p w14:paraId="23206CF0"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842264">
              <w:rPr>
                <w:rFonts w:ascii="Times New Roman" w:hAnsi="Times New Roman" w:cs="Times New Roman"/>
                <w:sz w:val="24"/>
                <w:szCs w:val="24"/>
                <w:lang w:val="en-US"/>
              </w:rPr>
              <w:t xml:space="preserve">Buyer </w:t>
            </w:r>
            <w:r>
              <w:rPr>
                <w:rFonts w:ascii="Times New Roman" w:hAnsi="Times New Roman" w:cs="Times New Roman"/>
                <w:sz w:val="24"/>
                <w:szCs w:val="24"/>
                <w:lang w:val="en-US"/>
              </w:rPr>
              <w:t>R&amp;D intensity</w:t>
            </w:r>
          </w:p>
        </w:tc>
        <w:tc>
          <w:tcPr>
            <w:tcW w:w="572" w:type="pct"/>
            <w:tcBorders>
              <w:top w:val="nil"/>
              <w:left w:val="nil"/>
              <w:bottom w:val="nil"/>
              <w:right w:val="nil"/>
            </w:tcBorders>
          </w:tcPr>
          <w:p w14:paraId="2E000802"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0.0406**</w:t>
            </w:r>
          </w:p>
        </w:tc>
        <w:tc>
          <w:tcPr>
            <w:tcW w:w="573" w:type="pct"/>
            <w:tcBorders>
              <w:top w:val="nil"/>
              <w:left w:val="nil"/>
              <w:bottom w:val="nil"/>
              <w:right w:val="nil"/>
            </w:tcBorders>
          </w:tcPr>
          <w:p w14:paraId="523FFFE1"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(0.017)</w:t>
            </w:r>
          </w:p>
        </w:tc>
        <w:tc>
          <w:tcPr>
            <w:tcW w:w="572" w:type="pct"/>
            <w:tcBorders>
              <w:top w:val="nil"/>
              <w:left w:val="nil"/>
              <w:bottom w:val="nil"/>
              <w:right w:val="nil"/>
            </w:tcBorders>
          </w:tcPr>
          <w:p w14:paraId="7C483BB1"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0.2559*</w:t>
            </w:r>
          </w:p>
        </w:tc>
        <w:tc>
          <w:tcPr>
            <w:tcW w:w="572" w:type="pct"/>
            <w:tcBorders>
              <w:top w:val="nil"/>
              <w:left w:val="nil"/>
              <w:bottom w:val="nil"/>
              <w:right w:val="nil"/>
            </w:tcBorders>
          </w:tcPr>
          <w:p w14:paraId="7A26F726"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(0.147)</w:t>
            </w:r>
          </w:p>
        </w:tc>
      </w:tr>
      <w:tr w:rsidR="009C4AE1" w:rsidRPr="002A5803" w14:paraId="0538FF70" w14:textId="77777777" w:rsidTr="00E41B4F">
        <w:tc>
          <w:tcPr>
            <w:tcW w:w="2710" w:type="pct"/>
            <w:tcBorders>
              <w:top w:val="nil"/>
              <w:left w:val="nil"/>
              <w:bottom w:val="nil"/>
              <w:right w:val="nil"/>
            </w:tcBorders>
          </w:tcPr>
          <w:p w14:paraId="2BFA85B3"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Buyer-relative ESG performance</w:t>
            </w:r>
          </w:p>
        </w:tc>
        <w:tc>
          <w:tcPr>
            <w:tcW w:w="572" w:type="pct"/>
            <w:tcBorders>
              <w:top w:val="nil"/>
              <w:left w:val="nil"/>
              <w:bottom w:val="nil"/>
              <w:right w:val="nil"/>
            </w:tcBorders>
          </w:tcPr>
          <w:p w14:paraId="44E7FD58" w14:textId="77777777" w:rsidR="009C4AE1" w:rsidRPr="003E63A3" w:rsidRDefault="009C4AE1" w:rsidP="00BA7963">
            <w:pPr>
              <w:widowControl w:val="0"/>
              <w:autoSpaceDE w:val="0"/>
              <w:autoSpaceDN w:val="0"/>
              <w:adjustRightInd w:val="0"/>
              <w:spacing w:after="0" w:line="240" w:lineRule="auto"/>
              <w:rPr>
                <w:rFonts w:ascii="Times New Roman" w:hAnsi="Times New Roman" w:cs="Times New Roman"/>
                <w:sz w:val="24"/>
                <w:szCs w:val="24"/>
                <w:highlight w:val="magenta"/>
              </w:rPr>
            </w:pPr>
            <w:r w:rsidRPr="00675AEE">
              <w:rPr>
                <w:rFonts w:ascii="Times New Roman" w:hAnsi="Times New Roman" w:cs="Times New Roman"/>
                <w:sz w:val="24"/>
                <w:szCs w:val="24"/>
              </w:rPr>
              <w:t>0.000</w:t>
            </w:r>
            <w:r>
              <w:rPr>
                <w:rFonts w:ascii="Times New Roman" w:hAnsi="Times New Roman" w:cs="Times New Roman"/>
                <w:sz w:val="24"/>
                <w:szCs w:val="24"/>
              </w:rPr>
              <w:t>6*</w:t>
            </w:r>
          </w:p>
        </w:tc>
        <w:tc>
          <w:tcPr>
            <w:tcW w:w="573" w:type="pct"/>
            <w:tcBorders>
              <w:top w:val="nil"/>
              <w:left w:val="nil"/>
              <w:bottom w:val="nil"/>
              <w:right w:val="nil"/>
            </w:tcBorders>
          </w:tcPr>
          <w:p w14:paraId="12EEE03B"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c>
          <w:tcPr>
            <w:tcW w:w="572" w:type="pct"/>
            <w:tcBorders>
              <w:top w:val="nil"/>
              <w:left w:val="nil"/>
              <w:bottom w:val="nil"/>
              <w:right w:val="nil"/>
            </w:tcBorders>
          </w:tcPr>
          <w:p w14:paraId="711CE0F1" w14:textId="77777777" w:rsidR="009C4AE1" w:rsidRPr="003E63A3" w:rsidRDefault="009C4AE1" w:rsidP="00BA7963">
            <w:pPr>
              <w:widowControl w:val="0"/>
              <w:autoSpaceDE w:val="0"/>
              <w:autoSpaceDN w:val="0"/>
              <w:adjustRightInd w:val="0"/>
              <w:spacing w:after="0" w:line="240" w:lineRule="auto"/>
              <w:rPr>
                <w:rFonts w:ascii="Times New Roman" w:hAnsi="Times New Roman" w:cs="Times New Roman"/>
                <w:sz w:val="24"/>
                <w:szCs w:val="24"/>
                <w:highlight w:val="magenta"/>
              </w:rPr>
            </w:pPr>
            <w:r>
              <w:rPr>
                <w:rFonts w:ascii="Times New Roman" w:hAnsi="Times New Roman" w:cs="Times New Roman"/>
                <w:sz w:val="24"/>
                <w:szCs w:val="24"/>
              </w:rPr>
              <w:t>0.00</w:t>
            </w:r>
            <w:r w:rsidRPr="00AB5C89">
              <w:rPr>
                <w:rFonts w:ascii="Times New Roman" w:hAnsi="Times New Roman" w:cs="Times New Roman"/>
                <w:sz w:val="24"/>
                <w:szCs w:val="24"/>
              </w:rPr>
              <w:t>19</w:t>
            </w:r>
            <w:r>
              <w:rPr>
                <w:rFonts w:ascii="Times New Roman" w:hAnsi="Times New Roman" w:cs="Times New Roman"/>
                <w:sz w:val="24"/>
                <w:szCs w:val="24"/>
              </w:rPr>
              <w:t>*</w:t>
            </w:r>
          </w:p>
        </w:tc>
        <w:tc>
          <w:tcPr>
            <w:tcW w:w="572" w:type="pct"/>
            <w:tcBorders>
              <w:top w:val="nil"/>
              <w:left w:val="nil"/>
              <w:bottom w:val="nil"/>
              <w:right w:val="nil"/>
            </w:tcBorders>
          </w:tcPr>
          <w:p w14:paraId="7BEE6F83"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r>
      <w:tr w:rsidR="009C4AE1" w:rsidRPr="002A5803" w14:paraId="74AD78A6" w14:textId="77777777" w:rsidTr="00E41B4F">
        <w:tc>
          <w:tcPr>
            <w:tcW w:w="2710" w:type="pct"/>
            <w:tcBorders>
              <w:top w:val="nil"/>
              <w:left w:val="nil"/>
              <w:bottom w:val="nil"/>
              <w:right w:val="nil"/>
            </w:tcBorders>
          </w:tcPr>
          <w:p w14:paraId="76AC0F20"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Supplier-relative ESG performance</w:t>
            </w:r>
          </w:p>
        </w:tc>
        <w:tc>
          <w:tcPr>
            <w:tcW w:w="572" w:type="pct"/>
            <w:tcBorders>
              <w:top w:val="nil"/>
              <w:left w:val="nil"/>
              <w:bottom w:val="nil"/>
              <w:right w:val="nil"/>
            </w:tcBorders>
          </w:tcPr>
          <w:p w14:paraId="41CD3B9B"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0.0004*</w:t>
            </w:r>
          </w:p>
        </w:tc>
        <w:tc>
          <w:tcPr>
            <w:tcW w:w="573" w:type="pct"/>
            <w:tcBorders>
              <w:top w:val="nil"/>
              <w:left w:val="nil"/>
              <w:bottom w:val="nil"/>
              <w:right w:val="nil"/>
            </w:tcBorders>
          </w:tcPr>
          <w:p w14:paraId="7974823F"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(0.000)</w:t>
            </w:r>
          </w:p>
        </w:tc>
        <w:tc>
          <w:tcPr>
            <w:tcW w:w="572" w:type="pct"/>
            <w:tcBorders>
              <w:top w:val="nil"/>
              <w:left w:val="nil"/>
              <w:bottom w:val="nil"/>
              <w:right w:val="nil"/>
            </w:tcBorders>
          </w:tcPr>
          <w:p w14:paraId="05B59C08"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-0.0015</w:t>
            </w:r>
          </w:p>
        </w:tc>
        <w:tc>
          <w:tcPr>
            <w:tcW w:w="572" w:type="pct"/>
            <w:tcBorders>
              <w:top w:val="nil"/>
              <w:left w:val="nil"/>
              <w:bottom w:val="nil"/>
              <w:right w:val="nil"/>
            </w:tcBorders>
          </w:tcPr>
          <w:p w14:paraId="232F9D2C"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(0.002)</w:t>
            </w:r>
          </w:p>
        </w:tc>
      </w:tr>
      <w:tr w:rsidR="009C4AE1" w:rsidRPr="00842264" w14:paraId="0D7589BF" w14:textId="77777777" w:rsidTr="00E41B4F">
        <w:tc>
          <w:tcPr>
            <w:tcW w:w="2710" w:type="pct"/>
            <w:tcBorders>
              <w:top w:val="nil"/>
              <w:left w:val="nil"/>
              <w:right w:val="nil"/>
            </w:tcBorders>
          </w:tcPr>
          <w:p w14:paraId="3DFA6613"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w:t>
            </w:r>
            <w:r w:rsidRPr="00842264">
              <w:rPr>
                <w:rFonts w:ascii="Times New Roman" w:hAnsi="Times New Roman" w:cs="Times New Roman"/>
                <w:sz w:val="24"/>
                <w:szCs w:val="24"/>
                <w:lang w:val="en-US"/>
              </w:rPr>
              <w:t>elationship</w:t>
            </w:r>
            <w:r>
              <w:rPr>
                <w:rFonts w:ascii="Times New Roman" w:hAnsi="Times New Roman" w:cs="Times New Roman"/>
                <w:sz w:val="24"/>
                <w:szCs w:val="24"/>
                <w:lang w:val="en-US"/>
              </w:rPr>
              <w:t xml:space="preserve"> length</w:t>
            </w:r>
          </w:p>
        </w:tc>
        <w:tc>
          <w:tcPr>
            <w:tcW w:w="572" w:type="pct"/>
            <w:tcBorders>
              <w:top w:val="nil"/>
              <w:left w:val="nil"/>
              <w:right w:val="nil"/>
            </w:tcBorders>
          </w:tcPr>
          <w:p w14:paraId="4A2AC4CA"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-0.0001</w:t>
            </w:r>
          </w:p>
        </w:tc>
        <w:tc>
          <w:tcPr>
            <w:tcW w:w="573" w:type="pct"/>
            <w:tcBorders>
              <w:top w:val="nil"/>
              <w:left w:val="nil"/>
              <w:right w:val="nil"/>
            </w:tcBorders>
          </w:tcPr>
          <w:p w14:paraId="65CC43B6"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c>
          <w:tcPr>
            <w:tcW w:w="572" w:type="pct"/>
            <w:tcBorders>
              <w:top w:val="nil"/>
              <w:left w:val="nil"/>
              <w:right w:val="nil"/>
            </w:tcBorders>
          </w:tcPr>
          <w:p w14:paraId="684E7E26"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0.0301***</w:t>
            </w:r>
          </w:p>
        </w:tc>
        <w:tc>
          <w:tcPr>
            <w:tcW w:w="572" w:type="pct"/>
            <w:tcBorders>
              <w:top w:val="nil"/>
              <w:left w:val="nil"/>
              <w:right w:val="nil"/>
            </w:tcBorders>
          </w:tcPr>
          <w:p w14:paraId="264A5A43"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413DDD">
              <w:rPr>
                <w:rFonts w:ascii="Times New Roman" w:hAnsi="Times New Roman" w:cs="Times New Roman"/>
                <w:sz w:val="24"/>
                <w:szCs w:val="24"/>
              </w:rPr>
              <w:t>(0.00</w:t>
            </w:r>
            <w:r>
              <w:rPr>
                <w:rFonts w:ascii="Times New Roman" w:hAnsi="Times New Roman" w:cs="Times New Roman"/>
                <w:sz w:val="24"/>
                <w:szCs w:val="24"/>
              </w:rPr>
              <w:t>8</w:t>
            </w:r>
            <w:r w:rsidRPr="00413DDD">
              <w:rPr>
                <w:rFonts w:ascii="Times New Roman" w:hAnsi="Times New Roman" w:cs="Times New Roman"/>
                <w:sz w:val="24"/>
                <w:szCs w:val="24"/>
              </w:rPr>
              <w:t>)</w:t>
            </w:r>
          </w:p>
        </w:tc>
      </w:tr>
      <w:tr w:rsidR="009C4AE1" w:rsidRPr="00842264" w14:paraId="6811C94C" w14:textId="77777777" w:rsidTr="00E41B4F">
        <w:tc>
          <w:tcPr>
            <w:tcW w:w="2710" w:type="pct"/>
            <w:tcBorders>
              <w:top w:val="nil"/>
              <w:left w:val="nil"/>
              <w:bottom w:val="single" w:sz="4" w:space="0" w:color="auto"/>
              <w:right w:val="nil"/>
            </w:tcBorders>
          </w:tcPr>
          <w:p w14:paraId="713209D9" w14:textId="77777777" w:rsidR="009C4AE1" w:rsidRPr="00842264" w:rsidRDefault="009C4AE1" w:rsidP="00BA7963">
            <w:pPr>
              <w:widowControl w:val="0"/>
              <w:autoSpaceDE w:val="0"/>
              <w:autoSpaceDN w:val="0"/>
              <w:adjustRightInd w:val="0"/>
              <w:spacing w:after="0" w:line="240" w:lineRule="auto"/>
              <w:rPr>
                <w:rFonts w:ascii="Times New Roman" w:hAnsi="Times New Roman" w:cs="Times New Roman"/>
                <w:sz w:val="24"/>
                <w:szCs w:val="24"/>
              </w:rPr>
            </w:pPr>
            <w:r w:rsidRPr="00842264">
              <w:rPr>
                <w:rFonts w:ascii="Times New Roman" w:hAnsi="Times New Roman" w:cs="Times New Roman"/>
                <w:sz w:val="24"/>
                <w:szCs w:val="24"/>
              </w:rPr>
              <w:t xml:space="preserve">Mutual </w:t>
            </w:r>
            <w:proofErr w:type="spellStart"/>
            <w:r w:rsidRPr="00842264">
              <w:rPr>
                <w:rFonts w:ascii="Times New Roman" w:hAnsi="Times New Roman" w:cs="Times New Roman"/>
                <w:sz w:val="24"/>
                <w:szCs w:val="24"/>
              </w:rPr>
              <w:t>dependence</w:t>
            </w:r>
            <w:proofErr w:type="spellEnd"/>
          </w:p>
        </w:tc>
        <w:tc>
          <w:tcPr>
            <w:tcW w:w="572" w:type="pct"/>
            <w:tcBorders>
              <w:top w:val="nil"/>
              <w:left w:val="nil"/>
              <w:bottom w:val="single" w:sz="4" w:space="0" w:color="auto"/>
              <w:right w:val="nil"/>
            </w:tcBorders>
          </w:tcPr>
          <w:p w14:paraId="27B0C325"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0.0020*</w:t>
            </w:r>
          </w:p>
        </w:tc>
        <w:tc>
          <w:tcPr>
            <w:tcW w:w="573" w:type="pct"/>
            <w:tcBorders>
              <w:top w:val="nil"/>
              <w:left w:val="nil"/>
              <w:bottom w:val="single" w:sz="4" w:space="0" w:color="auto"/>
              <w:right w:val="nil"/>
            </w:tcBorders>
          </w:tcPr>
          <w:p w14:paraId="433B18EA"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(0.001)</w:t>
            </w:r>
          </w:p>
        </w:tc>
        <w:tc>
          <w:tcPr>
            <w:tcW w:w="572" w:type="pct"/>
            <w:tcBorders>
              <w:top w:val="nil"/>
              <w:left w:val="nil"/>
              <w:bottom w:val="single" w:sz="4" w:space="0" w:color="auto"/>
              <w:right w:val="nil"/>
            </w:tcBorders>
          </w:tcPr>
          <w:p w14:paraId="4D37A4DF"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-0.0159*</w:t>
            </w:r>
          </w:p>
        </w:tc>
        <w:tc>
          <w:tcPr>
            <w:tcW w:w="572" w:type="pct"/>
            <w:tcBorders>
              <w:top w:val="nil"/>
              <w:left w:val="nil"/>
              <w:bottom w:val="single" w:sz="4" w:space="0" w:color="auto"/>
              <w:right w:val="nil"/>
            </w:tcBorders>
          </w:tcPr>
          <w:p w14:paraId="6ABCCD03" w14:textId="77777777" w:rsidR="009C4AE1" w:rsidRDefault="009C4AE1" w:rsidP="00BA79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(0.009)</w:t>
            </w:r>
          </w:p>
        </w:tc>
      </w:tr>
    </w:tbl>
    <w:p w14:paraId="0D646751" w14:textId="77777777" w:rsidR="009C4AE1" w:rsidRPr="007123C9" w:rsidRDefault="009C4AE1" w:rsidP="009C4AE1">
      <w:pPr>
        <w:spacing w:line="276" w:lineRule="auto"/>
        <w:jc w:val="both"/>
        <w:rPr>
          <w:rFonts w:ascii="Times New Roman" w:hAnsi="Times New Roman" w:cs="Times New Roman"/>
          <w:sz w:val="24"/>
          <w:szCs w:val="24"/>
          <w:lang w:val="en-US"/>
        </w:rPr>
      </w:pPr>
      <w:r w:rsidRPr="007123C9">
        <w:rPr>
          <w:rFonts w:ascii="Times New Roman" w:hAnsi="Times New Roman" w:cs="Times New Roman"/>
          <w:sz w:val="24"/>
          <w:szCs w:val="24"/>
          <w:lang w:val="en-US"/>
        </w:rPr>
        <w:t xml:space="preserve">Notes: </w:t>
      </w:r>
      <w:r w:rsidRPr="00D70BD0">
        <w:rPr>
          <w:rFonts w:ascii="Times New Roman" w:hAnsi="Times New Roman" w:cs="Times New Roman"/>
          <w:sz w:val="24"/>
          <w:szCs w:val="24"/>
          <w:lang w:val="en-US"/>
        </w:rPr>
        <w:t xml:space="preserve">The </w:t>
      </w:r>
      <w:r>
        <w:rPr>
          <w:rFonts w:ascii="Times New Roman" w:hAnsi="Times New Roman" w:cs="Times New Roman"/>
          <w:sz w:val="24"/>
          <w:szCs w:val="24"/>
          <w:lang w:val="en-US"/>
        </w:rPr>
        <w:t>sustainability asymmetries are estimated using spline technique (i.e. degree and direction of the asymmetry).</w:t>
      </w:r>
      <w:r w:rsidRPr="007123C9">
        <w:rPr>
          <w:rFonts w:ascii="Times New Roman" w:hAnsi="Times New Roman" w:cs="Times New Roman"/>
          <w:sz w:val="24"/>
          <w:szCs w:val="24"/>
          <w:lang w:val="en-US"/>
        </w:rPr>
        <w:t xml:space="preserve"> The sample size is 2,</w:t>
      </w:r>
      <w:r>
        <w:rPr>
          <w:rFonts w:ascii="Times New Roman" w:hAnsi="Times New Roman" w:cs="Times New Roman"/>
          <w:sz w:val="24"/>
          <w:szCs w:val="24"/>
          <w:lang w:val="en-US"/>
        </w:rPr>
        <w:t>093</w:t>
      </w:r>
      <w:r w:rsidRPr="007123C9">
        <w:rPr>
          <w:rFonts w:ascii="Times New Roman" w:hAnsi="Times New Roman" w:cs="Times New Roman"/>
          <w:sz w:val="24"/>
          <w:szCs w:val="24"/>
          <w:lang w:val="en-US"/>
        </w:rPr>
        <w:t xml:space="preserve"> dyad-year observations for </w:t>
      </w:r>
      <w:r>
        <w:rPr>
          <w:rFonts w:ascii="Times New Roman" w:hAnsi="Times New Roman" w:cs="Times New Roman"/>
          <w:sz w:val="24"/>
          <w:szCs w:val="24"/>
          <w:lang w:val="en-US"/>
        </w:rPr>
        <w:t>516</w:t>
      </w:r>
      <w:r w:rsidRPr="007123C9">
        <w:rPr>
          <w:rFonts w:ascii="Times New Roman" w:hAnsi="Times New Roman" w:cs="Times New Roman"/>
          <w:sz w:val="24"/>
          <w:szCs w:val="24"/>
          <w:lang w:val="en-US"/>
        </w:rPr>
        <w:t xml:space="preserve"> dyads (i.e. buyer and its top first-tier supplier). </w:t>
      </w:r>
      <w:r>
        <w:rPr>
          <w:rFonts w:ascii="Times New Roman" w:hAnsi="Times New Roman" w:cs="Times New Roman"/>
          <w:sz w:val="24"/>
          <w:szCs w:val="24"/>
          <w:lang w:val="en-US"/>
        </w:rPr>
        <w:t>R</w:t>
      </w:r>
      <w:r w:rsidRPr="007123C9">
        <w:rPr>
          <w:rFonts w:ascii="Times New Roman" w:hAnsi="Times New Roman" w:cs="Times New Roman"/>
          <w:sz w:val="24"/>
          <w:szCs w:val="24"/>
          <w:lang w:val="en-US"/>
        </w:rPr>
        <w:t>obust standard errors are in parentheses. Dummy variables for years are included in all models, but they are not reported.</w:t>
      </w:r>
      <w:r>
        <w:rPr>
          <w:rFonts w:ascii="Times New Roman" w:hAnsi="Times New Roman" w:cs="Times New Roman"/>
          <w:sz w:val="24"/>
          <w:szCs w:val="24"/>
          <w:lang w:val="en-US"/>
        </w:rPr>
        <w:t xml:space="preserve"> </w:t>
      </w:r>
    </w:p>
    <w:p w14:paraId="5FDC47D2" w14:textId="77777777" w:rsidR="009C4AE1" w:rsidRDefault="009C4AE1" w:rsidP="009C4AE1">
      <w:pPr>
        <w:rPr>
          <w:rFonts w:ascii="Times New Roman" w:hAnsi="Times New Roman" w:cs="Times New Roman"/>
          <w:b/>
          <w:sz w:val="24"/>
          <w:szCs w:val="24"/>
          <w:lang w:val="en-US"/>
        </w:rPr>
      </w:pPr>
      <w:r>
        <w:rPr>
          <w:rFonts w:ascii="Times New Roman" w:hAnsi="Times New Roman" w:cs="Times New Roman"/>
          <w:sz w:val="24"/>
          <w:szCs w:val="24"/>
          <w:lang w:val="en-US"/>
        </w:rPr>
        <w:t xml:space="preserve">Significant at: * </w:t>
      </w:r>
      <w:r w:rsidRPr="00D70BD0">
        <w:rPr>
          <w:rFonts w:ascii="Times New Roman" w:hAnsi="Times New Roman" w:cs="Times New Roman"/>
          <w:sz w:val="24"/>
          <w:szCs w:val="24"/>
          <w:lang w:val="en-US"/>
        </w:rPr>
        <w:t>p</w:t>
      </w:r>
      <w:r>
        <w:rPr>
          <w:rFonts w:ascii="Times New Roman" w:hAnsi="Times New Roman" w:cs="Times New Roman"/>
          <w:sz w:val="24"/>
          <w:szCs w:val="24"/>
          <w:lang w:val="en-US"/>
        </w:rPr>
        <w:t xml:space="preserve"> </w:t>
      </w:r>
      <w:r w:rsidRPr="00D70BD0">
        <w:rPr>
          <w:rFonts w:ascii="Times New Roman" w:hAnsi="Times New Roman" w:cs="Times New Roman"/>
          <w:sz w:val="24"/>
          <w:szCs w:val="24"/>
          <w:lang w:val="en-US"/>
        </w:rPr>
        <w:t>&lt;</w:t>
      </w:r>
      <w:r>
        <w:rPr>
          <w:rFonts w:ascii="Times New Roman" w:hAnsi="Times New Roman" w:cs="Times New Roman"/>
          <w:sz w:val="24"/>
          <w:szCs w:val="24"/>
          <w:lang w:val="en-US"/>
        </w:rPr>
        <w:t xml:space="preserve"> </w:t>
      </w:r>
      <w:r w:rsidRPr="00D70BD0">
        <w:rPr>
          <w:rFonts w:ascii="Times New Roman" w:hAnsi="Times New Roman" w:cs="Times New Roman"/>
          <w:sz w:val="24"/>
          <w:szCs w:val="24"/>
          <w:lang w:val="en-US"/>
        </w:rPr>
        <w:t>0.10</w:t>
      </w:r>
      <w:r>
        <w:rPr>
          <w:rFonts w:ascii="Times New Roman" w:hAnsi="Times New Roman" w:cs="Times New Roman"/>
          <w:sz w:val="24"/>
          <w:szCs w:val="24"/>
          <w:lang w:val="en-US"/>
        </w:rPr>
        <w:t>, *</w:t>
      </w:r>
      <w:proofErr w:type="gramStart"/>
      <w:r>
        <w:rPr>
          <w:rFonts w:ascii="Times New Roman" w:hAnsi="Times New Roman" w:cs="Times New Roman"/>
          <w:sz w:val="24"/>
          <w:szCs w:val="24"/>
          <w:lang w:val="en-US"/>
        </w:rPr>
        <w:t xml:space="preserve">* </w:t>
      </w:r>
      <w:r w:rsidRPr="00D70BD0">
        <w:rPr>
          <w:rFonts w:ascii="Times New Roman" w:hAnsi="Times New Roman" w:cs="Times New Roman"/>
          <w:sz w:val="24"/>
          <w:szCs w:val="24"/>
          <w:lang w:val="en-US"/>
        </w:rPr>
        <w:t xml:space="preserve"> p</w:t>
      </w:r>
      <w:proofErr w:type="gramEnd"/>
      <w:r w:rsidRPr="00D70BD0">
        <w:rPr>
          <w:rFonts w:ascii="Times New Roman" w:hAnsi="Times New Roman" w:cs="Times New Roman"/>
          <w:sz w:val="24"/>
          <w:szCs w:val="24"/>
          <w:lang w:val="en-US"/>
        </w:rPr>
        <w:t xml:space="preserve"> &lt; 0.05</w:t>
      </w:r>
      <w:r>
        <w:rPr>
          <w:rFonts w:ascii="Times New Roman" w:hAnsi="Times New Roman" w:cs="Times New Roman"/>
          <w:sz w:val="24"/>
          <w:szCs w:val="24"/>
          <w:lang w:val="en-US"/>
        </w:rPr>
        <w:t xml:space="preserve">, *** </w:t>
      </w:r>
      <w:r w:rsidRPr="00D70BD0">
        <w:rPr>
          <w:rFonts w:ascii="Times New Roman" w:hAnsi="Times New Roman" w:cs="Times New Roman"/>
          <w:sz w:val="24"/>
          <w:szCs w:val="24"/>
          <w:lang w:val="en-US"/>
        </w:rPr>
        <w:t>p &lt; 0.01</w:t>
      </w:r>
      <w:r>
        <w:rPr>
          <w:rFonts w:ascii="Times New Roman" w:hAnsi="Times New Roman" w:cs="Times New Roman"/>
          <w:sz w:val="24"/>
          <w:szCs w:val="24"/>
          <w:lang w:val="en-US"/>
        </w:rPr>
        <w:t>.</w:t>
      </w:r>
    </w:p>
    <w:p w14:paraId="20BC2260" w14:textId="77777777" w:rsidR="009C4AE1" w:rsidRDefault="009C4AE1" w:rsidP="009C4AE1">
      <w:pPr>
        <w:rPr>
          <w:rFonts w:ascii="Times New Roman" w:hAnsi="Times New Roman" w:cs="Times New Roman"/>
          <w:b/>
          <w:sz w:val="24"/>
          <w:szCs w:val="24"/>
          <w:lang w:val="en-US"/>
        </w:rPr>
        <w:sectPr w:rsidR="009C4AE1" w:rsidSect="00BA7963">
          <w:pgSz w:w="16838" w:h="11906" w:orient="landscape"/>
          <w:pgMar w:top="1440" w:right="1411" w:bottom="1584" w:left="1411" w:header="706" w:footer="706" w:gutter="0"/>
          <w:cols w:space="708"/>
          <w:docGrid w:linePitch="360"/>
        </w:sectPr>
      </w:pPr>
    </w:p>
    <w:p w14:paraId="6C7F839B" w14:textId="509A241C" w:rsidR="009C4AE1" w:rsidRDefault="009C4AE1" w:rsidP="009C4AE1">
      <w:pP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Table</w:t>
      </w:r>
      <w:r w:rsidRPr="00857E94">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5 </w:t>
      </w:r>
    </w:p>
    <w:p w14:paraId="72E8BD21" w14:textId="77777777" w:rsidR="009C4AE1" w:rsidRPr="00FB2690" w:rsidRDefault="009C4AE1" w:rsidP="009C4AE1">
      <w:pPr>
        <w:rPr>
          <w:rFonts w:ascii="Times New Roman" w:hAnsi="Times New Roman" w:cs="Times New Roman"/>
          <w:sz w:val="24"/>
          <w:szCs w:val="24"/>
          <w:lang w:val="en-US"/>
        </w:rPr>
      </w:pPr>
      <w:r>
        <w:rPr>
          <w:rFonts w:ascii="Times New Roman" w:hAnsi="Times New Roman" w:cs="Times New Roman"/>
          <w:sz w:val="24"/>
          <w:szCs w:val="24"/>
          <w:lang w:val="en-US"/>
        </w:rPr>
        <w:t>Results summary.</w:t>
      </w:r>
    </w:p>
    <w:tbl>
      <w:tblPr>
        <w:tblStyle w:val="Tablaconcuadrcula"/>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43"/>
        <w:gridCol w:w="3261"/>
      </w:tblGrid>
      <w:tr w:rsidR="009C4AE1" w14:paraId="3D40F560" w14:textId="77777777" w:rsidTr="00BA7963">
        <w:tc>
          <w:tcPr>
            <w:tcW w:w="630" w:type="dxa"/>
            <w:tcBorders>
              <w:top w:val="single" w:sz="4" w:space="0" w:color="auto"/>
              <w:bottom w:val="single" w:sz="4" w:space="0" w:color="auto"/>
            </w:tcBorders>
          </w:tcPr>
          <w:p w14:paraId="65AC8383" w14:textId="77777777" w:rsidR="009C4AE1" w:rsidRDefault="009C4AE1" w:rsidP="00BA7963">
            <w:pPr>
              <w:rPr>
                <w:rFonts w:ascii="Times New Roman" w:hAnsi="Times New Roman" w:cs="Times New Roman"/>
                <w:sz w:val="24"/>
                <w:szCs w:val="24"/>
                <w:lang w:val="en-US"/>
              </w:rPr>
            </w:pPr>
          </w:p>
        </w:tc>
        <w:tc>
          <w:tcPr>
            <w:tcW w:w="10143" w:type="dxa"/>
            <w:tcBorders>
              <w:top w:val="single" w:sz="4" w:space="0" w:color="auto"/>
              <w:bottom w:val="single" w:sz="4" w:space="0" w:color="auto"/>
            </w:tcBorders>
          </w:tcPr>
          <w:p w14:paraId="263E216B"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Hypotheses</w:t>
            </w:r>
          </w:p>
        </w:tc>
        <w:tc>
          <w:tcPr>
            <w:tcW w:w="3261" w:type="dxa"/>
            <w:tcBorders>
              <w:top w:val="single" w:sz="4" w:space="0" w:color="auto"/>
              <w:bottom w:val="single" w:sz="4" w:space="0" w:color="auto"/>
            </w:tcBorders>
          </w:tcPr>
          <w:p w14:paraId="3894BDC5"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Results</w:t>
            </w:r>
          </w:p>
        </w:tc>
      </w:tr>
      <w:tr w:rsidR="009C4AE1" w:rsidRPr="003616EC" w14:paraId="3A386184" w14:textId="77777777" w:rsidTr="00BA7963">
        <w:tc>
          <w:tcPr>
            <w:tcW w:w="630" w:type="dxa"/>
            <w:tcBorders>
              <w:top w:val="single" w:sz="4" w:space="0" w:color="auto"/>
            </w:tcBorders>
          </w:tcPr>
          <w:p w14:paraId="0012304E"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H1a</w:t>
            </w:r>
          </w:p>
        </w:tc>
        <w:tc>
          <w:tcPr>
            <w:tcW w:w="10143" w:type="dxa"/>
            <w:tcBorders>
              <w:top w:val="single" w:sz="4" w:space="0" w:color="auto"/>
            </w:tcBorders>
          </w:tcPr>
          <w:p w14:paraId="54D3DE4D" w14:textId="77777777" w:rsidR="009C4AE1" w:rsidRDefault="009C4AE1" w:rsidP="00BA7963">
            <w:pPr>
              <w:rPr>
                <w:rFonts w:ascii="Times New Roman" w:hAnsi="Times New Roman" w:cs="Times New Roman"/>
                <w:sz w:val="24"/>
                <w:szCs w:val="24"/>
                <w:lang w:val="en-US"/>
              </w:rPr>
            </w:pPr>
            <w:r w:rsidRPr="003B0009">
              <w:rPr>
                <w:rFonts w:ascii="Times New Roman" w:hAnsi="Times New Roman" w:cs="Times New Roman"/>
                <w:sz w:val="24"/>
                <w:szCs w:val="24"/>
                <w:lang w:val="en-US"/>
              </w:rPr>
              <w:t xml:space="preserve">Buyer-supplier </w:t>
            </w:r>
            <w:r w:rsidRPr="00820231">
              <w:rPr>
                <w:rFonts w:ascii="Times New Roman" w:hAnsi="Times New Roman" w:cs="Times New Roman"/>
                <w:b/>
                <w:sz w:val="24"/>
                <w:szCs w:val="24"/>
                <w:lang w:val="en-US"/>
              </w:rPr>
              <w:t>environmental</w:t>
            </w:r>
            <w:r w:rsidRPr="003B0009">
              <w:rPr>
                <w:rFonts w:ascii="Times New Roman" w:hAnsi="Times New Roman" w:cs="Times New Roman"/>
                <w:sz w:val="24"/>
                <w:szCs w:val="24"/>
                <w:lang w:val="en-US"/>
              </w:rPr>
              <w:t xml:space="preserve"> asymmetries will have a </w:t>
            </w:r>
            <w:r w:rsidRPr="00820231">
              <w:rPr>
                <w:rFonts w:ascii="Times New Roman" w:hAnsi="Times New Roman" w:cs="Times New Roman"/>
                <w:b/>
                <w:sz w:val="24"/>
                <w:szCs w:val="24"/>
                <w:lang w:val="en-US"/>
              </w:rPr>
              <w:t>positive</w:t>
            </w:r>
            <w:r w:rsidRPr="00811073">
              <w:rPr>
                <w:rFonts w:ascii="Times New Roman" w:hAnsi="Times New Roman" w:cs="Times New Roman"/>
                <w:sz w:val="24"/>
                <w:szCs w:val="24"/>
                <w:lang w:val="en-US"/>
              </w:rPr>
              <w:t xml:space="preserve"> effect </w:t>
            </w:r>
            <w:r w:rsidRPr="003B0009">
              <w:rPr>
                <w:rFonts w:ascii="Times New Roman" w:hAnsi="Times New Roman" w:cs="Times New Roman"/>
                <w:sz w:val="24"/>
                <w:szCs w:val="24"/>
                <w:lang w:val="en-US"/>
              </w:rPr>
              <w:t xml:space="preserve">on buyer </w:t>
            </w:r>
            <w:r w:rsidRPr="00820231">
              <w:rPr>
                <w:rFonts w:ascii="Times New Roman" w:hAnsi="Times New Roman" w:cs="Times New Roman"/>
                <w:b/>
                <w:sz w:val="24"/>
                <w:szCs w:val="24"/>
                <w:lang w:val="en-US"/>
              </w:rPr>
              <w:t>profitability</w:t>
            </w:r>
          </w:p>
        </w:tc>
        <w:tc>
          <w:tcPr>
            <w:tcW w:w="3261" w:type="dxa"/>
            <w:tcBorders>
              <w:top w:val="single" w:sz="4" w:space="0" w:color="auto"/>
            </w:tcBorders>
          </w:tcPr>
          <w:p w14:paraId="5F041221"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Confirmed in the area of resource reduction.</w:t>
            </w:r>
          </w:p>
        </w:tc>
      </w:tr>
      <w:tr w:rsidR="009C4AE1" w:rsidRPr="003616EC" w14:paraId="615DEA56" w14:textId="77777777" w:rsidTr="00BA7963">
        <w:tc>
          <w:tcPr>
            <w:tcW w:w="630" w:type="dxa"/>
          </w:tcPr>
          <w:p w14:paraId="2001E384"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H1b</w:t>
            </w:r>
          </w:p>
        </w:tc>
        <w:tc>
          <w:tcPr>
            <w:tcW w:w="10143" w:type="dxa"/>
          </w:tcPr>
          <w:p w14:paraId="0381FB46" w14:textId="77777777" w:rsidR="009C4AE1" w:rsidRDefault="009C4AE1" w:rsidP="00BA7963">
            <w:pPr>
              <w:rPr>
                <w:rFonts w:ascii="Times New Roman" w:hAnsi="Times New Roman" w:cs="Times New Roman"/>
                <w:sz w:val="24"/>
                <w:szCs w:val="24"/>
                <w:lang w:val="en-US"/>
              </w:rPr>
            </w:pPr>
            <w:r w:rsidRPr="003B0009">
              <w:rPr>
                <w:rFonts w:ascii="Times New Roman" w:hAnsi="Times New Roman" w:cs="Times New Roman"/>
                <w:sz w:val="24"/>
                <w:szCs w:val="24"/>
                <w:lang w:val="en-US"/>
              </w:rPr>
              <w:t xml:space="preserve">Buyer-supplier </w:t>
            </w:r>
            <w:r w:rsidRPr="00820231">
              <w:rPr>
                <w:rFonts w:ascii="Times New Roman" w:hAnsi="Times New Roman" w:cs="Times New Roman"/>
                <w:b/>
                <w:sz w:val="24"/>
                <w:szCs w:val="24"/>
                <w:lang w:val="en-US"/>
              </w:rPr>
              <w:t>environmental</w:t>
            </w:r>
            <w:r w:rsidRPr="003B0009">
              <w:rPr>
                <w:rFonts w:ascii="Times New Roman" w:hAnsi="Times New Roman" w:cs="Times New Roman"/>
                <w:sz w:val="24"/>
                <w:szCs w:val="24"/>
                <w:lang w:val="en-US"/>
              </w:rPr>
              <w:t xml:space="preserve"> asymmetries will have a </w:t>
            </w:r>
            <w:r w:rsidRPr="00820231">
              <w:rPr>
                <w:rFonts w:ascii="Times New Roman" w:hAnsi="Times New Roman" w:cs="Times New Roman"/>
                <w:b/>
                <w:sz w:val="24"/>
                <w:szCs w:val="24"/>
                <w:lang w:val="en-US"/>
              </w:rPr>
              <w:t xml:space="preserve">negative </w:t>
            </w:r>
            <w:r w:rsidRPr="00811073">
              <w:rPr>
                <w:rFonts w:ascii="Times New Roman" w:hAnsi="Times New Roman" w:cs="Times New Roman"/>
                <w:sz w:val="24"/>
                <w:szCs w:val="24"/>
                <w:lang w:val="en-US"/>
              </w:rPr>
              <w:t>effect</w:t>
            </w:r>
            <w:r w:rsidRPr="003B0009">
              <w:rPr>
                <w:rFonts w:ascii="Times New Roman" w:hAnsi="Times New Roman" w:cs="Times New Roman"/>
                <w:sz w:val="24"/>
                <w:szCs w:val="24"/>
                <w:lang w:val="en-US"/>
              </w:rPr>
              <w:t xml:space="preserve"> on buyer </w:t>
            </w:r>
            <w:r w:rsidRPr="00820231">
              <w:rPr>
                <w:rFonts w:ascii="Times New Roman" w:hAnsi="Times New Roman" w:cs="Times New Roman"/>
                <w:b/>
                <w:sz w:val="24"/>
                <w:szCs w:val="24"/>
                <w:lang w:val="en-US"/>
              </w:rPr>
              <w:t>profitability</w:t>
            </w:r>
          </w:p>
        </w:tc>
        <w:tc>
          <w:tcPr>
            <w:tcW w:w="3261" w:type="dxa"/>
          </w:tcPr>
          <w:p w14:paraId="2C916860"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Confirmed in the area of emission reduction.</w:t>
            </w:r>
          </w:p>
        </w:tc>
      </w:tr>
      <w:tr w:rsidR="009C4AE1" w:rsidRPr="003616EC" w14:paraId="6F368715" w14:textId="77777777" w:rsidTr="00BA7963">
        <w:tc>
          <w:tcPr>
            <w:tcW w:w="630" w:type="dxa"/>
          </w:tcPr>
          <w:p w14:paraId="6AF3DFAC"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H2a</w:t>
            </w:r>
          </w:p>
        </w:tc>
        <w:tc>
          <w:tcPr>
            <w:tcW w:w="10143" w:type="dxa"/>
          </w:tcPr>
          <w:p w14:paraId="28D8C20C" w14:textId="77777777" w:rsidR="009C4AE1" w:rsidRDefault="009C4AE1" w:rsidP="00BA7963">
            <w:pPr>
              <w:rPr>
                <w:rFonts w:ascii="Times New Roman" w:hAnsi="Times New Roman" w:cs="Times New Roman"/>
                <w:sz w:val="24"/>
                <w:szCs w:val="24"/>
                <w:lang w:val="en-US"/>
              </w:rPr>
            </w:pPr>
            <w:r w:rsidRPr="003B0009">
              <w:rPr>
                <w:rFonts w:ascii="Times New Roman" w:hAnsi="Times New Roman" w:cs="Times New Roman"/>
                <w:sz w:val="24"/>
                <w:szCs w:val="24"/>
                <w:lang w:val="en-US"/>
              </w:rPr>
              <w:t xml:space="preserve">Buyer-supplier </w:t>
            </w:r>
            <w:r w:rsidRPr="00820231">
              <w:rPr>
                <w:rFonts w:ascii="Times New Roman" w:hAnsi="Times New Roman" w:cs="Times New Roman"/>
                <w:b/>
                <w:sz w:val="24"/>
                <w:szCs w:val="24"/>
                <w:lang w:val="en-US"/>
              </w:rPr>
              <w:t>social</w:t>
            </w:r>
            <w:r w:rsidRPr="003B0009">
              <w:rPr>
                <w:rFonts w:ascii="Times New Roman" w:hAnsi="Times New Roman" w:cs="Times New Roman"/>
                <w:sz w:val="24"/>
                <w:szCs w:val="24"/>
                <w:lang w:val="en-US"/>
              </w:rPr>
              <w:t xml:space="preserve"> asymmetries will have a </w:t>
            </w:r>
            <w:r w:rsidRPr="00811073">
              <w:rPr>
                <w:rFonts w:ascii="Times New Roman" w:hAnsi="Times New Roman" w:cs="Times New Roman"/>
                <w:b/>
                <w:sz w:val="24"/>
                <w:szCs w:val="24"/>
                <w:lang w:val="en-US"/>
              </w:rPr>
              <w:t xml:space="preserve">positive </w:t>
            </w:r>
            <w:r w:rsidRPr="00811073">
              <w:rPr>
                <w:rFonts w:ascii="Times New Roman" w:hAnsi="Times New Roman" w:cs="Times New Roman"/>
                <w:sz w:val="24"/>
                <w:szCs w:val="24"/>
                <w:lang w:val="en-US"/>
              </w:rPr>
              <w:t>effect</w:t>
            </w:r>
            <w:r w:rsidRPr="003B0009">
              <w:rPr>
                <w:rFonts w:ascii="Times New Roman" w:hAnsi="Times New Roman" w:cs="Times New Roman"/>
                <w:sz w:val="24"/>
                <w:szCs w:val="24"/>
                <w:lang w:val="en-US"/>
              </w:rPr>
              <w:t xml:space="preserve"> on buyer </w:t>
            </w:r>
            <w:r w:rsidRPr="00B01101">
              <w:rPr>
                <w:rFonts w:ascii="Times New Roman" w:hAnsi="Times New Roman" w:cs="Times New Roman"/>
                <w:b/>
                <w:sz w:val="24"/>
                <w:szCs w:val="24"/>
                <w:lang w:val="en-US"/>
              </w:rPr>
              <w:t>profitability</w:t>
            </w:r>
          </w:p>
        </w:tc>
        <w:tc>
          <w:tcPr>
            <w:tcW w:w="3261" w:type="dxa"/>
          </w:tcPr>
          <w:p w14:paraId="1E9903E1"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Confirmed in the area of health &amp; safety.</w:t>
            </w:r>
          </w:p>
        </w:tc>
      </w:tr>
      <w:tr w:rsidR="009C4AE1" w14:paraId="01B5D77B" w14:textId="77777777" w:rsidTr="00BA7963">
        <w:tc>
          <w:tcPr>
            <w:tcW w:w="630" w:type="dxa"/>
          </w:tcPr>
          <w:p w14:paraId="19E92140"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H2b</w:t>
            </w:r>
          </w:p>
        </w:tc>
        <w:tc>
          <w:tcPr>
            <w:tcW w:w="10143" w:type="dxa"/>
          </w:tcPr>
          <w:p w14:paraId="1FAD4807" w14:textId="77777777" w:rsidR="009C4AE1" w:rsidRDefault="009C4AE1" w:rsidP="00BA7963">
            <w:pPr>
              <w:rPr>
                <w:rFonts w:ascii="Times New Roman" w:hAnsi="Times New Roman" w:cs="Times New Roman"/>
                <w:sz w:val="24"/>
                <w:szCs w:val="24"/>
                <w:lang w:val="en-US"/>
              </w:rPr>
            </w:pPr>
            <w:r w:rsidRPr="003B0009">
              <w:rPr>
                <w:rFonts w:ascii="Times New Roman" w:hAnsi="Times New Roman" w:cs="Times New Roman"/>
                <w:sz w:val="24"/>
                <w:szCs w:val="24"/>
                <w:lang w:val="en-US"/>
              </w:rPr>
              <w:t xml:space="preserve">Buyer-supplier </w:t>
            </w:r>
            <w:r w:rsidRPr="00820231">
              <w:rPr>
                <w:rFonts w:ascii="Times New Roman" w:hAnsi="Times New Roman" w:cs="Times New Roman"/>
                <w:b/>
                <w:sz w:val="24"/>
                <w:szCs w:val="24"/>
                <w:lang w:val="en-US"/>
              </w:rPr>
              <w:t>social</w:t>
            </w:r>
            <w:r w:rsidRPr="003B0009">
              <w:rPr>
                <w:rFonts w:ascii="Times New Roman" w:hAnsi="Times New Roman" w:cs="Times New Roman"/>
                <w:sz w:val="24"/>
                <w:szCs w:val="24"/>
                <w:lang w:val="en-US"/>
              </w:rPr>
              <w:t xml:space="preserve"> asymmetries will have a </w:t>
            </w:r>
            <w:r w:rsidRPr="00811073">
              <w:rPr>
                <w:rFonts w:ascii="Times New Roman" w:hAnsi="Times New Roman" w:cs="Times New Roman"/>
                <w:b/>
                <w:sz w:val="24"/>
                <w:szCs w:val="24"/>
                <w:lang w:val="en-US"/>
              </w:rPr>
              <w:t xml:space="preserve">negative </w:t>
            </w:r>
            <w:r w:rsidRPr="00811073">
              <w:rPr>
                <w:rFonts w:ascii="Times New Roman" w:hAnsi="Times New Roman" w:cs="Times New Roman"/>
                <w:sz w:val="24"/>
                <w:szCs w:val="24"/>
                <w:lang w:val="en-US"/>
              </w:rPr>
              <w:t>effect</w:t>
            </w:r>
            <w:r w:rsidRPr="003B0009">
              <w:rPr>
                <w:rFonts w:ascii="Times New Roman" w:hAnsi="Times New Roman" w:cs="Times New Roman"/>
                <w:sz w:val="24"/>
                <w:szCs w:val="24"/>
                <w:lang w:val="en-US"/>
              </w:rPr>
              <w:t xml:space="preserve"> on buyer </w:t>
            </w:r>
            <w:r w:rsidRPr="00B01101">
              <w:rPr>
                <w:rFonts w:ascii="Times New Roman" w:hAnsi="Times New Roman" w:cs="Times New Roman"/>
                <w:b/>
                <w:sz w:val="24"/>
                <w:szCs w:val="24"/>
                <w:lang w:val="en-US"/>
              </w:rPr>
              <w:t>profitability</w:t>
            </w:r>
          </w:p>
        </w:tc>
        <w:tc>
          <w:tcPr>
            <w:tcW w:w="3261" w:type="dxa"/>
          </w:tcPr>
          <w:p w14:paraId="55B0FBB9"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Not confirmed.</w:t>
            </w:r>
          </w:p>
        </w:tc>
      </w:tr>
      <w:tr w:rsidR="009C4AE1" w14:paraId="796DA252" w14:textId="77777777" w:rsidTr="00BA7963">
        <w:tc>
          <w:tcPr>
            <w:tcW w:w="630" w:type="dxa"/>
          </w:tcPr>
          <w:p w14:paraId="3818330B"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H3a</w:t>
            </w:r>
          </w:p>
        </w:tc>
        <w:tc>
          <w:tcPr>
            <w:tcW w:w="10143" w:type="dxa"/>
          </w:tcPr>
          <w:p w14:paraId="136B1108" w14:textId="77777777" w:rsidR="009C4AE1" w:rsidRDefault="009C4AE1" w:rsidP="00BA7963">
            <w:pPr>
              <w:rPr>
                <w:rFonts w:ascii="Times New Roman" w:hAnsi="Times New Roman" w:cs="Times New Roman"/>
                <w:sz w:val="24"/>
                <w:szCs w:val="24"/>
                <w:lang w:val="en-US"/>
              </w:rPr>
            </w:pPr>
            <w:r w:rsidRPr="003B0009">
              <w:rPr>
                <w:rFonts w:ascii="Times New Roman" w:hAnsi="Times New Roman" w:cs="Times New Roman"/>
                <w:sz w:val="24"/>
                <w:szCs w:val="24"/>
                <w:lang w:val="en-US"/>
              </w:rPr>
              <w:t xml:space="preserve">Buyer-supplier </w:t>
            </w:r>
            <w:r w:rsidRPr="00811073">
              <w:rPr>
                <w:rFonts w:ascii="Times New Roman" w:hAnsi="Times New Roman" w:cs="Times New Roman"/>
                <w:b/>
                <w:sz w:val="24"/>
                <w:szCs w:val="24"/>
                <w:lang w:val="en-US"/>
              </w:rPr>
              <w:t>environmental</w:t>
            </w:r>
            <w:r w:rsidRPr="003B0009">
              <w:rPr>
                <w:rFonts w:ascii="Times New Roman" w:hAnsi="Times New Roman" w:cs="Times New Roman"/>
                <w:sz w:val="24"/>
                <w:szCs w:val="24"/>
                <w:lang w:val="en-US"/>
              </w:rPr>
              <w:t xml:space="preserve"> asymmetries will have a </w:t>
            </w:r>
            <w:r w:rsidRPr="00811073">
              <w:rPr>
                <w:rFonts w:ascii="Times New Roman" w:hAnsi="Times New Roman" w:cs="Times New Roman"/>
                <w:b/>
                <w:sz w:val="24"/>
                <w:szCs w:val="24"/>
                <w:lang w:val="en-US"/>
              </w:rPr>
              <w:t xml:space="preserve">positive </w:t>
            </w:r>
            <w:r w:rsidRPr="00811073">
              <w:rPr>
                <w:rFonts w:ascii="Times New Roman" w:hAnsi="Times New Roman" w:cs="Times New Roman"/>
                <w:sz w:val="24"/>
                <w:szCs w:val="24"/>
                <w:lang w:val="en-US"/>
              </w:rPr>
              <w:t>effect</w:t>
            </w:r>
            <w:r w:rsidRPr="003B0009">
              <w:rPr>
                <w:rFonts w:ascii="Times New Roman" w:hAnsi="Times New Roman" w:cs="Times New Roman"/>
                <w:sz w:val="24"/>
                <w:szCs w:val="24"/>
                <w:lang w:val="en-US"/>
              </w:rPr>
              <w:t xml:space="preserve"> on buyer </w:t>
            </w:r>
            <w:r w:rsidRPr="00B01101">
              <w:rPr>
                <w:rFonts w:ascii="Times New Roman" w:hAnsi="Times New Roman" w:cs="Times New Roman"/>
                <w:b/>
                <w:sz w:val="24"/>
                <w:szCs w:val="24"/>
                <w:lang w:val="en-US"/>
              </w:rPr>
              <w:t>market valuation</w:t>
            </w:r>
          </w:p>
        </w:tc>
        <w:tc>
          <w:tcPr>
            <w:tcW w:w="3261" w:type="dxa"/>
          </w:tcPr>
          <w:p w14:paraId="0D7916D5"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Not confirmed.</w:t>
            </w:r>
          </w:p>
        </w:tc>
      </w:tr>
      <w:tr w:rsidR="009C4AE1" w:rsidRPr="003616EC" w14:paraId="3FF42E30" w14:textId="77777777" w:rsidTr="00BA7963">
        <w:tc>
          <w:tcPr>
            <w:tcW w:w="630" w:type="dxa"/>
          </w:tcPr>
          <w:p w14:paraId="7DF925C9"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H3b</w:t>
            </w:r>
          </w:p>
        </w:tc>
        <w:tc>
          <w:tcPr>
            <w:tcW w:w="10143" w:type="dxa"/>
          </w:tcPr>
          <w:p w14:paraId="5A2B95EA" w14:textId="77777777" w:rsidR="009C4AE1" w:rsidRDefault="009C4AE1" w:rsidP="00BA7963">
            <w:pPr>
              <w:rPr>
                <w:rFonts w:ascii="Times New Roman" w:hAnsi="Times New Roman" w:cs="Times New Roman"/>
                <w:sz w:val="24"/>
                <w:szCs w:val="24"/>
                <w:lang w:val="en-US"/>
              </w:rPr>
            </w:pPr>
            <w:r w:rsidRPr="003B0009">
              <w:rPr>
                <w:rFonts w:ascii="Times New Roman" w:hAnsi="Times New Roman" w:cs="Times New Roman"/>
                <w:sz w:val="24"/>
                <w:szCs w:val="24"/>
                <w:lang w:val="en-US"/>
              </w:rPr>
              <w:t xml:space="preserve">Buyer-supplier </w:t>
            </w:r>
            <w:r w:rsidRPr="00811073">
              <w:rPr>
                <w:rFonts w:ascii="Times New Roman" w:hAnsi="Times New Roman" w:cs="Times New Roman"/>
                <w:b/>
                <w:sz w:val="24"/>
                <w:szCs w:val="24"/>
                <w:lang w:val="en-US"/>
              </w:rPr>
              <w:t>environmental</w:t>
            </w:r>
            <w:r w:rsidRPr="003B0009">
              <w:rPr>
                <w:rFonts w:ascii="Times New Roman" w:hAnsi="Times New Roman" w:cs="Times New Roman"/>
                <w:sz w:val="24"/>
                <w:szCs w:val="24"/>
                <w:lang w:val="en-US"/>
              </w:rPr>
              <w:t xml:space="preserve"> asymmetries will have a </w:t>
            </w:r>
            <w:r w:rsidRPr="00811073">
              <w:rPr>
                <w:rFonts w:ascii="Times New Roman" w:hAnsi="Times New Roman" w:cs="Times New Roman"/>
                <w:b/>
                <w:sz w:val="24"/>
                <w:szCs w:val="24"/>
                <w:lang w:val="en-US"/>
              </w:rPr>
              <w:t xml:space="preserve">negative </w:t>
            </w:r>
            <w:r w:rsidRPr="00811073">
              <w:rPr>
                <w:rFonts w:ascii="Times New Roman" w:hAnsi="Times New Roman" w:cs="Times New Roman"/>
                <w:sz w:val="24"/>
                <w:szCs w:val="24"/>
                <w:lang w:val="en-US"/>
              </w:rPr>
              <w:t>effect</w:t>
            </w:r>
            <w:r w:rsidRPr="003B0009">
              <w:rPr>
                <w:rFonts w:ascii="Times New Roman" w:hAnsi="Times New Roman" w:cs="Times New Roman"/>
                <w:sz w:val="24"/>
                <w:szCs w:val="24"/>
                <w:lang w:val="en-US"/>
              </w:rPr>
              <w:t xml:space="preserve"> on buyer </w:t>
            </w:r>
            <w:r w:rsidRPr="00B01101">
              <w:rPr>
                <w:rFonts w:ascii="Times New Roman" w:hAnsi="Times New Roman" w:cs="Times New Roman"/>
                <w:b/>
                <w:sz w:val="24"/>
                <w:szCs w:val="24"/>
                <w:lang w:val="en-US"/>
              </w:rPr>
              <w:t>market valuation</w:t>
            </w:r>
          </w:p>
        </w:tc>
        <w:tc>
          <w:tcPr>
            <w:tcW w:w="3261" w:type="dxa"/>
          </w:tcPr>
          <w:p w14:paraId="552322A0"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Confirmed in the area of emission reduction.</w:t>
            </w:r>
          </w:p>
        </w:tc>
      </w:tr>
      <w:tr w:rsidR="009C4AE1" w14:paraId="0B6EBC76" w14:textId="77777777" w:rsidTr="00BA7963">
        <w:tc>
          <w:tcPr>
            <w:tcW w:w="630" w:type="dxa"/>
          </w:tcPr>
          <w:p w14:paraId="159CCE04"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H4a</w:t>
            </w:r>
          </w:p>
        </w:tc>
        <w:tc>
          <w:tcPr>
            <w:tcW w:w="10143" w:type="dxa"/>
          </w:tcPr>
          <w:p w14:paraId="3B983C7B" w14:textId="77777777" w:rsidR="009C4AE1" w:rsidRDefault="009C4AE1" w:rsidP="00BA7963">
            <w:pPr>
              <w:rPr>
                <w:rFonts w:ascii="Times New Roman" w:hAnsi="Times New Roman" w:cs="Times New Roman"/>
                <w:sz w:val="24"/>
                <w:szCs w:val="24"/>
                <w:lang w:val="en-US"/>
              </w:rPr>
            </w:pPr>
            <w:r w:rsidRPr="003B0009">
              <w:rPr>
                <w:rFonts w:ascii="Times New Roman" w:hAnsi="Times New Roman" w:cs="Times New Roman"/>
                <w:sz w:val="24"/>
                <w:szCs w:val="24"/>
                <w:lang w:val="en-US"/>
              </w:rPr>
              <w:t xml:space="preserve">Buyer-supplier </w:t>
            </w:r>
            <w:r w:rsidRPr="00811073">
              <w:rPr>
                <w:rFonts w:ascii="Times New Roman" w:hAnsi="Times New Roman" w:cs="Times New Roman"/>
                <w:b/>
                <w:sz w:val="24"/>
                <w:szCs w:val="24"/>
                <w:lang w:val="en-US"/>
              </w:rPr>
              <w:t>social</w:t>
            </w:r>
            <w:r>
              <w:rPr>
                <w:rFonts w:ascii="Times New Roman" w:hAnsi="Times New Roman" w:cs="Times New Roman"/>
                <w:sz w:val="24"/>
                <w:szCs w:val="24"/>
                <w:lang w:val="en-US"/>
              </w:rPr>
              <w:t xml:space="preserve"> </w:t>
            </w:r>
            <w:r w:rsidRPr="003B0009">
              <w:rPr>
                <w:rFonts w:ascii="Times New Roman" w:hAnsi="Times New Roman" w:cs="Times New Roman"/>
                <w:sz w:val="24"/>
                <w:szCs w:val="24"/>
                <w:lang w:val="en-US"/>
              </w:rPr>
              <w:t xml:space="preserve">asymmetries will have a </w:t>
            </w:r>
            <w:r w:rsidRPr="00811073">
              <w:rPr>
                <w:rFonts w:ascii="Times New Roman" w:hAnsi="Times New Roman" w:cs="Times New Roman"/>
                <w:b/>
                <w:sz w:val="24"/>
                <w:szCs w:val="24"/>
                <w:lang w:val="en-US"/>
              </w:rPr>
              <w:t xml:space="preserve">positive </w:t>
            </w:r>
            <w:r w:rsidRPr="00811073">
              <w:rPr>
                <w:rFonts w:ascii="Times New Roman" w:hAnsi="Times New Roman" w:cs="Times New Roman"/>
                <w:sz w:val="24"/>
                <w:szCs w:val="24"/>
                <w:lang w:val="en-US"/>
              </w:rPr>
              <w:t>effect</w:t>
            </w:r>
            <w:r w:rsidRPr="003B0009">
              <w:rPr>
                <w:rFonts w:ascii="Times New Roman" w:hAnsi="Times New Roman" w:cs="Times New Roman"/>
                <w:sz w:val="24"/>
                <w:szCs w:val="24"/>
                <w:lang w:val="en-US"/>
              </w:rPr>
              <w:t xml:space="preserve"> on buyer </w:t>
            </w:r>
            <w:r w:rsidRPr="00811073">
              <w:rPr>
                <w:rFonts w:ascii="Times New Roman" w:hAnsi="Times New Roman" w:cs="Times New Roman"/>
                <w:b/>
                <w:sz w:val="24"/>
                <w:szCs w:val="24"/>
                <w:lang w:val="en-US"/>
              </w:rPr>
              <w:t>market valuation</w:t>
            </w:r>
          </w:p>
        </w:tc>
        <w:tc>
          <w:tcPr>
            <w:tcW w:w="3261" w:type="dxa"/>
          </w:tcPr>
          <w:p w14:paraId="5A550A08"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Not confirmed.</w:t>
            </w:r>
          </w:p>
        </w:tc>
      </w:tr>
      <w:tr w:rsidR="009C4AE1" w14:paraId="5A59C63B" w14:textId="77777777" w:rsidTr="00BA7963">
        <w:tc>
          <w:tcPr>
            <w:tcW w:w="630" w:type="dxa"/>
          </w:tcPr>
          <w:p w14:paraId="3240AF65"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H4b</w:t>
            </w:r>
          </w:p>
        </w:tc>
        <w:tc>
          <w:tcPr>
            <w:tcW w:w="10143" w:type="dxa"/>
          </w:tcPr>
          <w:p w14:paraId="769575D4" w14:textId="77777777" w:rsidR="009C4AE1" w:rsidRDefault="009C4AE1" w:rsidP="00BA7963">
            <w:pPr>
              <w:rPr>
                <w:rFonts w:ascii="Times New Roman" w:hAnsi="Times New Roman" w:cs="Times New Roman"/>
                <w:sz w:val="24"/>
                <w:szCs w:val="24"/>
                <w:lang w:val="en-US"/>
              </w:rPr>
            </w:pPr>
            <w:r w:rsidRPr="003B0009">
              <w:rPr>
                <w:rFonts w:ascii="Times New Roman" w:hAnsi="Times New Roman" w:cs="Times New Roman"/>
                <w:sz w:val="24"/>
                <w:szCs w:val="24"/>
                <w:lang w:val="en-US"/>
              </w:rPr>
              <w:t xml:space="preserve">Buyer-supplier </w:t>
            </w:r>
            <w:r w:rsidRPr="00811073">
              <w:rPr>
                <w:rFonts w:ascii="Times New Roman" w:hAnsi="Times New Roman" w:cs="Times New Roman"/>
                <w:b/>
                <w:sz w:val="24"/>
                <w:szCs w:val="24"/>
                <w:lang w:val="en-US"/>
              </w:rPr>
              <w:t>social</w:t>
            </w:r>
            <w:r w:rsidRPr="003B0009">
              <w:rPr>
                <w:rFonts w:ascii="Times New Roman" w:hAnsi="Times New Roman" w:cs="Times New Roman"/>
                <w:sz w:val="24"/>
                <w:szCs w:val="24"/>
                <w:lang w:val="en-US"/>
              </w:rPr>
              <w:t xml:space="preserve"> asymmetries will have a </w:t>
            </w:r>
            <w:r w:rsidRPr="00811073">
              <w:rPr>
                <w:rFonts w:ascii="Times New Roman" w:hAnsi="Times New Roman" w:cs="Times New Roman"/>
                <w:b/>
                <w:sz w:val="24"/>
                <w:szCs w:val="24"/>
                <w:lang w:val="en-US"/>
              </w:rPr>
              <w:t xml:space="preserve">negative </w:t>
            </w:r>
            <w:r w:rsidRPr="00811073">
              <w:rPr>
                <w:rFonts w:ascii="Times New Roman" w:hAnsi="Times New Roman" w:cs="Times New Roman"/>
                <w:sz w:val="24"/>
                <w:szCs w:val="24"/>
                <w:lang w:val="en-US"/>
              </w:rPr>
              <w:t>effect</w:t>
            </w:r>
            <w:r w:rsidRPr="003B0009">
              <w:rPr>
                <w:rFonts w:ascii="Times New Roman" w:hAnsi="Times New Roman" w:cs="Times New Roman"/>
                <w:sz w:val="24"/>
                <w:szCs w:val="24"/>
                <w:lang w:val="en-US"/>
              </w:rPr>
              <w:t xml:space="preserve"> on buyer </w:t>
            </w:r>
            <w:r w:rsidRPr="00811073">
              <w:rPr>
                <w:rFonts w:ascii="Times New Roman" w:hAnsi="Times New Roman" w:cs="Times New Roman"/>
                <w:b/>
                <w:sz w:val="24"/>
                <w:szCs w:val="24"/>
                <w:lang w:val="en-US"/>
              </w:rPr>
              <w:t>market valuation</w:t>
            </w:r>
          </w:p>
        </w:tc>
        <w:tc>
          <w:tcPr>
            <w:tcW w:w="3261" w:type="dxa"/>
          </w:tcPr>
          <w:p w14:paraId="5ED6326F"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Not confirmed.</w:t>
            </w:r>
          </w:p>
        </w:tc>
      </w:tr>
      <w:tr w:rsidR="009C4AE1" w:rsidRPr="003616EC" w14:paraId="5487EEEB" w14:textId="77777777" w:rsidTr="00BA7963">
        <w:tc>
          <w:tcPr>
            <w:tcW w:w="630" w:type="dxa"/>
          </w:tcPr>
          <w:p w14:paraId="4116B394"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H5</w:t>
            </w:r>
          </w:p>
        </w:tc>
        <w:tc>
          <w:tcPr>
            <w:tcW w:w="10143" w:type="dxa"/>
          </w:tcPr>
          <w:p w14:paraId="1EF40F0E"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 xml:space="preserve">When the buyer adopts a </w:t>
            </w:r>
            <w:r w:rsidRPr="00811073">
              <w:rPr>
                <w:rFonts w:ascii="Times New Roman" w:hAnsi="Times New Roman" w:cs="Times New Roman"/>
                <w:b/>
                <w:sz w:val="24"/>
                <w:szCs w:val="24"/>
                <w:lang w:val="en-US"/>
              </w:rPr>
              <w:t>greening approach</w:t>
            </w:r>
            <w:r w:rsidRPr="00811073">
              <w:rPr>
                <w:rFonts w:ascii="Times New Roman" w:hAnsi="Times New Roman" w:cs="Times New Roman"/>
                <w:sz w:val="24"/>
                <w:szCs w:val="24"/>
                <w:lang w:val="en-US"/>
              </w:rPr>
              <w:t>,</w:t>
            </w:r>
            <w:r>
              <w:rPr>
                <w:rFonts w:ascii="Times New Roman" w:hAnsi="Times New Roman" w:cs="Times New Roman"/>
                <w:sz w:val="24"/>
                <w:szCs w:val="24"/>
                <w:lang w:val="en-US"/>
              </w:rPr>
              <w:t xml:space="preserve"> buyer-supplier asymmetries will have a </w:t>
            </w:r>
            <w:r w:rsidRPr="00811073">
              <w:rPr>
                <w:rFonts w:ascii="Times New Roman" w:hAnsi="Times New Roman" w:cs="Times New Roman"/>
                <w:b/>
                <w:sz w:val="24"/>
                <w:szCs w:val="24"/>
                <w:lang w:val="en-US"/>
              </w:rPr>
              <w:t>negative</w:t>
            </w:r>
            <w:r>
              <w:rPr>
                <w:rFonts w:ascii="Times New Roman" w:hAnsi="Times New Roman" w:cs="Times New Roman"/>
                <w:sz w:val="24"/>
                <w:szCs w:val="24"/>
                <w:lang w:val="en-US"/>
              </w:rPr>
              <w:t xml:space="preserve"> effect on its </w:t>
            </w:r>
            <w:r w:rsidRPr="00811073">
              <w:rPr>
                <w:rFonts w:ascii="Times New Roman" w:hAnsi="Times New Roman" w:cs="Times New Roman"/>
                <w:b/>
                <w:sz w:val="24"/>
                <w:szCs w:val="24"/>
                <w:lang w:val="en-US"/>
              </w:rPr>
              <w:t>profitability</w:t>
            </w:r>
          </w:p>
        </w:tc>
        <w:tc>
          <w:tcPr>
            <w:tcW w:w="3261" w:type="dxa"/>
          </w:tcPr>
          <w:p w14:paraId="13F26135"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Only confirmed in the area of emission reduction.</w:t>
            </w:r>
          </w:p>
        </w:tc>
      </w:tr>
      <w:tr w:rsidR="009C4AE1" w:rsidRPr="003616EC" w14:paraId="7A8CC62D" w14:textId="77777777" w:rsidTr="00BA7963">
        <w:tc>
          <w:tcPr>
            <w:tcW w:w="630" w:type="dxa"/>
            <w:tcBorders>
              <w:bottom w:val="single" w:sz="4" w:space="0" w:color="auto"/>
            </w:tcBorders>
          </w:tcPr>
          <w:p w14:paraId="7DE57DD7"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H6</w:t>
            </w:r>
          </w:p>
        </w:tc>
        <w:tc>
          <w:tcPr>
            <w:tcW w:w="10143" w:type="dxa"/>
            <w:tcBorders>
              <w:bottom w:val="single" w:sz="4" w:space="0" w:color="auto"/>
            </w:tcBorders>
          </w:tcPr>
          <w:p w14:paraId="6819A474"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 xml:space="preserve">When the buyer adopts a </w:t>
            </w:r>
            <w:r w:rsidRPr="00811073">
              <w:rPr>
                <w:rFonts w:ascii="Times New Roman" w:hAnsi="Times New Roman" w:cs="Times New Roman"/>
                <w:b/>
                <w:sz w:val="24"/>
                <w:szCs w:val="24"/>
                <w:lang w:val="en-US"/>
              </w:rPr>
              <w:t>greening approach</w:t>
            </w:r>
            <w:r>
              <w:rPr>
                <w:rFonts w:ascii="Times New Roman" w:hAnsi="Times New Roman" w:cs="Times New Roman"/>
                <w:sz w:val="24"/>
                <w:szCs w:val="24"/>
                <w:lang w:val="en-US"/>
              </w:rPr>
              <w:t>, buyer-supplier asymmetries will have a negative effect on its</w:t>
            </w:r>
            <w:r w:rsidRPr="003B0009">
              <w:rPr>
                <w:rFonts w:ascii="Times New Roman" w:hAnsi="Times New Roman" w:cs="Times New Roman"/>
                <w:sz w:val="24"/>
                <w:szCs w:val="24"/>
                <w:lang w:val="en-US"/>
              </w:rPr>
              <w:t xml:space="preserve"> </w:t>
            </w:r>
            <w:r w:rsidRPr="00811073">
              <w:rPr>
                <w:rFonts w:ascii="Times New Roman" w:hAnsi="Times New Roman" w:cs="Times New Roman"/>
                <w:b/>
                <w:sz w:val="24"/>
                <w:szCs w:val="24"/>
                <w:lang w:val="en-US"/>
              </w:rPr>
              <w:t>market valuation</w:t>
            </w:r>
          </w:p>
        </w:tc>
        <w:tc>
          <w:tcPr>
            <w:tcW w:w="3261" w:type="dxa"/>
            <w:tcBorders>
              <w:bottom w:val="single" w:sz="4" w:space="0" w:color="auto"/>
            </w:tcBorders>
          </w:tcPr>
          <w:p w14:paraId="3AC6E004" w14:textId="77777777" w:rsidR="009C4AE1" w:rsidRDefault="009C4AE1" w:rsidP="00BA7963">
            <w:pPr>
              <w:rPr>
                <w:rFonts w:ascii="Times New Roman" w:hAnsi="Times New Roman" w:cs="Times New Roman"/>
                <w:sz w:val="24"/>
                <w:szCs w:val="24"/>
                <w:lang w:val="en-US"/>
              </w:rPr>
            </w:pPr>
            <w:r>
              <w:rPr>
                <w:rFonts w:ascii="Times New Roman" w:hAnsi="Times New Roman" w:cs="Times New Roman"/>
                <w:sz w:val="24"/>
                <w:szCs w:val="24"/>
                <w:lang w:val="en-US"/>
              </w:rPr>
              <w:t>Only confirmed in the area of emission reduction.</w:t>
            </w:r>
          </w:p>
        </w:tc>
      </w:tr>
    </w:tbl>
    <w:p w14:paraId="4E72B70B" w14:textId="77777777" w:rsidR="0089241B" w:rsidRPr="009C4AE1" w:rsidRDefault="0089241B" w:rsidP="00061E41">
      <w:pPr>
        <w:rPr>
          <w:lang w:val="en-US"/>
        </w:rPr>
      </w:pPr>
      <w:bookmarkStart w:id="8" w:name="_GoBack"/>
      <w:bookmarkEnd w:id="8"/>
    </w:p>
    <w:sectPr w:rsidR="0089241B" w:rsidRPr="009C4AE1" w:rsidSect="00061E41">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D9C2E" w14:textId="77777777" w:rsidR="00143DDC" w:rsidRDefault="00143DDC" w:rsidP="0091010D">
      <w:pPr>
        <w:spacing w:after="0" w:line="240" w:lineRule="auto"/>
      </w:pPr>
      <w:r>
        <w:separator/>
      </w:r>
    </w:p>
  </w:endnote>
  <w:endnote w:type="continuationSeparator" w:id="0">
    <w:p w14:paraId="718AE1A3" w14:textId="77777777" w:rsidR="00143DDC" w:rsidRDefault="00143DDC" w:rsidP="0091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690298"/>
      <w:docPartObj>
        <w:docPartGallery w:val="Page Numbers (Bottom of Page)"/>
        <w:docPartUnique/>
      </w:docPartObj>
    </w:sdtPr>
    <w:sdtContent>
      <w:p w14:paraId="3211B2A7" w14:textId="05F8FB97" w:rsidR="00A30190" w:rsidRDefault="00A30190">
        <w:pPr>
          <w:pStyle w:val="Piedepgina"/>
          <w:jc w:val="right"/>
        </w:pPr>
        <w:r>
          <w:fldChar w:fldCharType="begin"/>
        </w:r>
        <w:r>
          <w:instrText>PAGE   \* MERGEFORMAT</w:instrText>
        </w:r>
        <w:r>
          <w:fldChar w:fldCharType="separate"/>
        </w:r>
        <w:r>
          <w:rPr>
            <w:noProof/>
          </w:rPr>
          <w:t>2</w:t>
        </w:r>
        <w:r>
          <w:rPr>
            <w:noProof/>
          </w:rPr>
          <w:fldChar w:fldCharType="end"/>
        </w:r>
      </w:p>
    </w:sdtContent>
  </w:sdt>
  <w:p w14:paraId="6BFF8DE0" w14:textId="77777777" w:rsidR="00A30190" w:rsidRDefault="00A301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286BC" w14:textId="77777777" w:rsidR="00143DDC" w:rsidRDefault="00143DDC" w:rsidP="0091010D">
      <w:pPr>
        <w:spacing w:after="0" w:line="240" w:lineRule="auto"/>
      </w:pPr>
      <w:r>
        <w:separator/>
      </w:r>
    </w:p>
  </w:footnote>
  <w:footnote w:type="continuationSeparator" w:id="0">
    <w:p w14:paraId="001F7FFA" w14:textId="77777777" w:rsidR="00143DDC" w:rsidRDefault="00143DDC" w:rsidP="00910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877DF"/>
    <w:multiLevelType w:val="hybridMultilevel"/>
    <w:tmpl w:val="FB544ADE"/>
    <w:lvl w:ilvl="0" w:tplc="D69A723C">
      <w:start w:val="1"/>
      <w:numFmt w:val="decimal"/>
      <w:lvlText w:val="H%1a."/>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F4047A"/>
    <w:multiLevelType w:val="hybridMultilevel"/>
    <w:tmpl w:val="F858F2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62650B4A"/>
    <w:multiLevelType w:val="hybridMultilevel"/>
    <w:tmpl w:val="24F40BBC"/>
    <w:lvl w:ilvl="0" w:tplc="02D292E6">
      <w:start w:val="1"/>
      <w:numFmt w:val="decimal"/>
      <w:lvlText w:val="H%1b."/>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24296C"/>
    <w:multiLevelType w:val="hybridMultilevel"/>
    <w:tmpl w:val="B20E73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O1MDK2NDW3NDU0NjFV0lEKTi0uzszPAykwMasFAEsr4dItAAAA"/>
  </w:docVars>
  <w:rsids>
    <w:rsidRoot w:val="00034449"/>
    <w:rsid w:val="00002069"/>
    <w:rsid w:val="00003110"/>
    <w:rsid w:val="0000452B"/>
    <w:rsid w:val="0000469F"/>
    <w:rsid w:val="000055F2"/>
    <w:rsid w:val="000066AE"/>
    <w:rsid w:val="0000684B"/>
    <w:rsid w:val="00006E80"/>
    <w:rsid w:val="00007674"/>
    <w:rsid w:val="00007D7F"/>
    <w:rsid w:val="00007F7E"/>
    <w:rsid w:val="000109E9"/>
    <w:rsid w:val="0001323F"/>
    <w:rsid w:val="00016BB0"/>
    <w:rsid w:val="00016F48"/>
    <w:rsid w:val="00017351"/>
    <w:rsid w:val="00021180"/>
    <w:rsid w:val="0002228B"/>
    <w:rsid w:val="00023DE0"/>
    <w:rsid w:val="00025181"/>
    <w:rsid w:val="000253C2"/>
    <w:rsid w:val="00026782"/>
    <w:rsid w:val="0003006C"/>
    <w:rsid w:val="000306AD"/>
    <w:rsid w:val="00031321"/>
    <w:rsid w:val="00031905"/>
    <w:rsid w:val="00031C0D"/>
    <w:rsid w:val="00034449"/>
    <w:rsid w:val="0003493A"/>
    <w:rsid w:val="00034A89"/>
    <w:rsid w:val="00035C11"/>
    <w:rsid w:val="00037A2C"/>
    <w:rsid w:val="00040060"/>
    <w:rsid w:val="00040FA1"/>
    <w:rsid w:val="000418AD"/>
    <w:rsid w:val="00041954"/>
    <w:rsid w:val="00042599"/>
    <w:rsid w:val="0004282B"/>
    <w:rsid w:val="00042970"/>
    <w:rsid w:val="00042C8C"/>
    <w:rsid w:val="00042D20"/>
    <w:rsid w:val="00042EC0"/>
    <w:rsid w:val="000433D7"/>
    <w:rsid w:val="00044723"/>
    <w:rsid w:val="00044DF4"/>
    <w:rsid w:val="00045529"/>
    <w:rsid w:val="00046C24"/>
    <w:rsid w:val="00051127"/>
    <w:rsid w:val="000515C3"/>
    <w:rsid w:val="000533E9"/>
    <w:rsid w:val="000535AF"/>
    <w:rsid w:val="00053AED"/>
    <w:rsid w:val="00053C38"/>
    <w:rsid w:val="000540ED"/>
    <w:rsid w:val="000546EA"/>
    <w:rsid w:val="00054CD2"/>
    <w:rsid w:val="000563AD"/>
    <w:rsid w:val="00056660"/>
    <w:rsid w:val="00060F4D"/>
    <w:rsid w:val="00061E41"/>
    <w:rsid w:val="0006252B"/>
    <w:rsid w:val="0006358A"/>
    <w:rsid w:val="000661AC"/>
    <w:rsid w:val="00067FC5"/>
    <w:rsid w:val="0007645B"/>
    <w:rsid w:val="00076E00"/>
    <w:rsid w:val="00082A67"/>
    <w:rsid w:val="00083EC8"/>
    <w:rsid w:val="000866D3"/>
    <w:rsid w:val="00086BB5"/>
    <w:rsid w:val="00087047"/>
    <w:rsid w:val="00092937"/>
    <w:rsid w:val="00093356"/>
    <w:rsid w:val="00096EE9"/>
    <w:rsid w:val="000A006A"/>
    <w:rsid w:val="000A0867"/>
    <w:rsid w:val="000A1429"/>
    <w:rsid w:val="000A2011"/>
    <w:rsid w:val="000A33E4"/>
    <w:rsid w:val="000A5625"/>
    <w:rsid w:val="000A6CCC"/>
    <w:rsid w:val="000A7D84"/>
    <w:rsid w:val="000B0A6A"/>
    <w:rsid w:val="000B0C0C"/>
    <w:rsid w:val="000B0D97"/>
    <w:rsid w:val="000B3911"/>
    <w:rsid w:val="000B5F4C"/>
    <w:rsid w:val="000B65D3"/>
    <w:rsid w:val="000C09E1"/>
    <w:rsid w:val="000C14EC"/>
    <w:rsid w:val="000C2F9D"/>
    <w:rsid w:val="000C3589"/>
    <w:rsid w:val="000C575D"/>
    <w:rsid w:val="000C5F00"/>
    <w:rsid w:val="000C5FAF"/>
    <w:rsid w:val="000C6469"/>
    <w:rsid w:val="000D0805"/>
    <w:rsid w:val="000D3548"/>
    <w:rsid w:val="000D3608"/>
    <w:rsid w:val="000D61C3"/>
    <w:rsid w:val="000D6AF1"/>
    <w:rsid w:val="000E2408"/>
    <w:rsid w:val="000E3A8B"/>
    <w:rsid w:val="000E4576"/>
    <w:rsid w:val="000E7A38"/>
    <w:rsid w:val="000F0B87"/>
    <w:rsid w:val="000F26C6"/>
    <w:rsid w:val="000F5E59"/>
    <w:rsid w:val="000F6124"/>
    <w:rsid w:val="000F768E"/>
    <w:rsid w:val="000F78E6"/>
    <w:rsid w:val="00100741"/>
    <w:rsid w:val="001032FD"/>
    <w:rsid w:val="00103A04"/>
    <w:rsid w:val="0010526B"/>
    <w:rsid w:val="00106BF1"/>
    <w:rsid w:val="00116889"/>
    <w:rsid w:val="00117282"/>
    <w:rsid w:val="001174C4"/>
    <w:rsid w:val="00117C35"/>
    <w:rsid w:val="00120DD4"/>
    <w:rsid w:val="00120DFF"/>
    <w:rsid w:val="00120F53"/>
    <w:rsid w:val="001247A8"/>
    <w:rsid w:val="0013535D"/>
    <w:rsid w:val="00136555"/>
    <w:rsid w:val="00136BF9"/>
    <w:rsid w:val="001420E1"/>
    <w:rsid w:val="00143DDC"/>
    <w:rsid w:val="0014433F"/>
    <w:rsid w:val="00144460"/>
    <w:rsid w:val="001451B8"/>
    <w:rsid w:val="0014638C"/>
    <w:rsid w:val="00147373"/>
    <w:rsid w:val="00150047"/>
    <w:rsid w:val="00152257"/>
    <w:rsid w:val="00153FE8"/>
    <w:rsid w:val="00161125"/>
    <w:rsid w:val="001631DE"/>
    <w:rsid w:val="0016520D"/>
    <w:rsid w:val="00167570"/>
    <w:rsid w:val="0017210F"/>
    <w:rsid w:val="00176685"/>
    <w:rsid w:val="00176BE8"/>
    <w:rsid w:val="00176FA9"/>
    <w:rsid w:val="001809F5"/>
    <w:rsid w:val="00180E17"/>
    <w:rsid w:val="00182ADD"/>
    <w:rsid w:val="001849B4"/>
    <w:rsid w:val="00184BFE"/>
    <w:rsid w:val="001850DB"/>
    <w:rsid w:val="001857A7"/>
    <w:rsid w:val="0018638F"/>
    <w:rsid w:val="0018648A"/>
    <w:rsid w:val="00186919"/>
    <w:rsid w:val="00186E4A"/>
    <w:rsid w:val="001871DE"/>
    <w:rsid w:val="00187E6C"/>
    <w:rsid w:val="001902BE"/>
    <w:rsid w:val="00190E80"/>
    <w:rsid w:val="0019563A"/>
    <w:rsid w:val="001973FC"/>
    <w:rsid w:val="001A03C7"/>
    <w:rsid w:val="001A0510"/>
    <w:rsid w:val="001A3FE3"/>
    <w:rsid w:val="001A43DD"/>
    <w:rsid w:val="001A4B1C"/>
    <w:rsid w:val="001A64DA"/>
    <w:rsid w:val="001B2D21"/>
    <w:rsid w:val="001B61EF"/>
    <w:rsid w:val="001B7CF7"/>
    <w:rsid w:val="001C043F"/>
    <w:rsid w:val="001C064C"/>
    <w:rsid w:val="001C34AC"/>
    <w:rsid w:val="001C4570"/>
    <w:rsid w:val="001C517B"/>
    <w:rsid w:val="001C534F"/>
    <w:rsid w:val="001C66C3"/>
    <w:rsid w:val="001C707B"/>
    <w:rsid w:val="001C7D18"/>
    <w:rsid w:val="001D0B27"/>
    <w:rsid w:val="001D2E16"/>
    <w:rsid w:val="001D3E78"/>
    <w:rsid w:val="001D49D5"/>
    <w:rsid w:val="001D4FB7"/>
    <w:rsid w:val="001D6522"/>
    <w:rsid w:val="001D6E4C"/>
    <w:rsid w:val="001E12DD"/>
    <w:rsid w:val="001E2327"/>
    <w:rsid w:val="001E2ED5"/>
    <w:rsid w:val="001E34AA"/>
    <w:rsid w:val="001E713C"/>
    <w:rsid w:val="001E7AB7"/>
    <w:rsid w:val="001F11C5"/>
    <w:rsid w:val="001F4C60"/>
    <w:rsid w:val="001F5597"/>
    <w:rsid w:val="001F64D4"/>
    <w:rsid w:val="001F6B15"/>
    <w:rsid w:val="001F706C"/>
    <w:rsid w:val="00201976"/>
    <w:rsid w:val="00205860"/>
    <w:rsid w:val="00206BF4"/>
    <w:rsid w:val="0020701A"/>
    <w:rsid w:val="00211257"/>
    <w:rsid w:val="00211F1B"/>
    <w:rsid w:val="0021313A"/>
    <w:rsid w:val="00221ED6"/>
    <w:rsid w:val="002223AD"/>
    <w:rsid w:val="0022395D"/>
    <w:rsid w:val="00234B99"/>
    <w:rsid w:val="00235A95"/>
    <w:rsid w:val="00235C39"/>
    <w:rsid w:val="00236189"/>
    <w:rsid w:val="00236FF5"/>
    <w:rsid w:val="002404D9"/>
    <w:rsid w:val="00240BFE"/>
    <w:rsid w:val="00243755"/>
    <w:rsid w:val="00243E31"/>
    <w:rsid w:val="00244453"/>
    <w:rsid w:val="00251660"/>
    <w:rsid w:val="00251DB1"/>
    <w:rsid w:val="002537A6"/>
    <w:rsid w:val="0025678C"/>
    <w:rsid w:val="002620BE"/>
    <w:rsid w:val="00264ACD"/>
    <w:rsid w:val="0026635C"/>
    <w:rsid w:val="00266739"/>
    <w:rsid w:val="00270295"/>
    <w:rsid w:val="00271598"/>
    <w:rsid w:val="00271929"/>
    <w:rsid w:val="00272EDE"/>
    <w:rsid w:val="0027371C"/>
    <w:rsid w:val="0027528E"/>
    <w:rsid w:val="00281C2E"/>
    <w:rsid w:val="00282DC3"/>
    <w:rsid w:val="0028476F"/>
    <w:rsid w:val="00284794"/>
    <w:rsid w:val="002852FB"/>
    <w:rsid w:val="00285F63"/>
    <w:rsid w:val="0028632B"/>
    <w:rsid w:val="00286677"/>
    <w:rsid w:val="002867F5"/>
    <w:rsid w:val="00286D4B"/>
    <w:rsid w:val="00291E35"/>
    <w:rsid w:val="002936A5"/>
    <w:rsid w:val="00293B8A"/>
    <w:rsid w:val="002961B5"/>
    <w:rsid w:val="002A3D50"/>
    <w:rsid w:val="002A5D0B"/>
    <w:rsid w:val="002B1CAA"/>
    <w:rsid w:val="002B30B7"/>
    <w:rsid w:val="002B36A4"/>
    <w:rsid w:val="002B3AD7"/>
    <w:rsid w:val="002B420B"/>
    <w:rsid w:val="002B6062"/>
    <w:rsid w:val="002B69AD"/>
    <w:rsid w:val="002B75A5"/>
    <w:rsid w:val="002C2251"/>
    <w:rsid w:val="002C430A"/>
    <w:rsid w:val="002C4508"/>
    <w:rsid w:val="002C5E40"/>
    <w:rsid w:val="002C618C"/>
    <w:rsid w:val="002C6DE8"/>
    <w:rsid w:val="002C7351"/>
    <w:rsid w:val="002D1043"/>
    <w:rsid w:val="002D3F60"/>
    <w:rsid w:val="002D5325"/>
    <w:rsid w:val="002D601A"/>
    <w:rsid w:val="002D7473"/>
    <w:rsid w:val="002D799F"/>
    <w:rsid w:val="002E0535"/>
    <w:rsid w:val="002E079D"/>
    <w:rsid w:val="002E0DEF"/>
    <w:rsid w:val="002E3AD9"/>
    <w:rsid w:val="002E4F33"/>
    <w:rsid w:val="002E5347"/>
    <w:rsid w:val="002F0116"/>
    <w:rsid w:val="002F15C8"/>
    <w:rsid w:val="002F37A7"/>
    <w:rsid w:val="002F50C0"/>
    <w:rsid w:val="002F51C0"/>
    <w:rsid w:val="002F6F24"/>
    <w:rsid w:val="003006F4"/>
    <w:rsid w:val="003056F4"/>
    <w:rsid w:val="003077C0"/>
    <w:rsid w:val="0031154D"/>
    <w:rsid w:val="00311781"/>
    <w:rsid w:val="0031489D"/>
    <w:rsid w:val="00314EE7"/>
    <w:rsid w:val="0031652A"/>
    <w:rsid w:val="0031759A"/>
    <w:rsid w:val="00317A47"/>
    <w:rsid w:val="0032075F"/>
    <w:rsid w:val="00322945"/>
    <w:rsid w:val="00322F95"/>
    <w:rsid w:val="00324299"/>
    <w:rsid w:val="0032527D"/>
    <w:rsid w:val="00330C44"/>
    <w:rsid w:val="00330F64"/>
    <w:rsid w:val="00332E5C"/>
    <w:rsid w:val="00333A9B"/>
    <w:rsid w:val="00335102"/>
    <w:rsid w:val="003359EF"/>
    <w:rsid w:val="00336434"/>
    <w:rsid w:val="00341900"/>
    <w:rsid w:val="00342683"/>
    <w:rsid w:val="00342960"/>
    <w:rsid w:val="00342B59"/>
    <w:rsid w:val="00342C2B"/>
    <w:rsid w:val="003435A7"/>
    <w:rsid w:val="00343D43"/>
    <w:rsid w:val="00345BDC"/>
    <w:rsid w:val="00346ECF"/>
    <w:rsid w:val="00347313"/>
    <w:rsid w:val="00350E15"/>
    <w:rsid w:val="0035138C"/>
    <w:rsid w:val="00355A4C"/>
    <w:rsid w:val="00356012"/>
    <w:rsid w:val="003616EC"/>
    <w:rsid w:val="00361A09"/>
    <w:rsid w:val="00362E16"/>
    <w:rsid w:val="003666EC"/>
    <w:rsid w:val="003722C6"/>
    <w:rsid w:val="00372CA8"/>
    <w:rsid w:val="0038032E"/>
    <w:rsid w:val="0038115F"/>
    <w:rsid w:val="003815FB"/>
    <w:rsid w:val="00383B0D"/>
    <w:rsid w:val="00383DDC"/>
    <w:rsid w:val="00384DF9"/>
    <w:rsid w:val="00386811"/>
    <w:rsid w:val="00386CA7"/>
    <w:rsid w:val="00387695"/>
    <w:rsid w:val="003921A8"/>
    <w:rsid w:val="00392966"/>
    <w:rsid w:val="00395886"/>
    <w:rsid w:val="003965F4"/>
    <w:rsid w:val="003A26A8"/>
    <w:rsid w:val="003A335F"/>
    <w:rsid w:val="003A409F"/>
    <w:rsid w:val="003A5C49"/>
    <w:rsid w:val="003A68D2"/>
    <w:rsid w:val="003A779C"/>
    <w:rsid w:val="003A7E7A"/>
    <w:rsid w:val="003A7FF4"/>
    <w:rsid w:val="003B2471"/>
    <w:rsid w:val="003B4E4A"/>
    <w:rsid w:val="003B5D98"/>
    <w:rsid w:val="003B72D5"/>
    <w:rsid w:val="003C3E55"/>
    <w:rsid w:val="003C4470"/>
    <w:rsid w:val="003C5553"/>
    <w:rsid w:val="003C6FEF"/>
    <w:rsid w:val="003C7A12"/>
    <w:rsid w:val="003D0A21"/>
    <w:rsid w:val="003D1324"/>
    <w:rsid w:val="003D18D5"/>
    <w:rsid w:val="003D1E51"/>
    <w:rsid w:val="003D3303"/>
    <w:rsid w:val="003D4890"/>
    <w:rsid w:val="003E0F08"/>
    <w:rsid w:val="003E110B"/>
    <w:rsid w:val="003E2436"/>
    <w:rsid w:val="003E524D"/>
    <w:rsid w:val="003E6279"/>
    <w:rsid w:val="003F0354"/>
    <w:rsid w:val="003F2166"/>
    <w:rsid w:val="003F277B"/>
    <w:rsid w:val="003F35AA"/>
    <w:rsid w:val="003F4749"/>
    <w:rsid w:val="004032C8"/>
    <w:rsid w:val="00405F3A"/>
    <w:rsid w:val="004060F8"/>
    <w:rsid w:val="00407FB7"/>
    <w:rsid w:val="00407FDC"/>
    <w:rsid w:val="00410846"/>
    <w:rsid w:val="004118A5"/>
    <w:rsid w:val="00411FDA"/>
    <w:rsid w:val="0041234D"/>
    <w:rsid w:val="00416E91"/>
    <w:rsid w:val="004179FA"/>
    <w:rsid w:val="00422BEC"/>
    <w:rsid w:val="004235AB"/>
    <w:rsid w:val="00426801"/>
    <w:rsid w:val="00426E00"/>
    <w:rsid w:val="004270F7"/>
    <w:rsid w:val="00432D3B"/>
    <w:rsid w:val="0043433B"/>
    <w:rsid w:val="00434C5A"/>
    <w:rsid w:val="00435588"/>
    <w:rsid w:val="00436CF4"/>
    <w:rsid w:val="004405C2"/>
    <w:rsid w:val="00443A4B"/>
    <w:rsid w:val="00444F08"/>
    <w:rsid w:val="00446945"/>
    <w:rsid w:val="00446994"/>
    <w:rsid w:val="004475B8"/>
    <w:rsid w:val="00450BCD"/>
    <w:rsid w:val="00450CD8"/>
    <w:rsid w:val="00451E48"/>
    <w:rsid w:val="00452866"/>
    <w:rsid w:val="00452BD4"/>
    <w:rsid w:val="0045389F"/>
    <w:rsid w:val="00454886"/>
    <w:rsid w:val="004552C2"/>
    <w:rsid w:val="0045778F"/>
    <w:rsid w:val="00463C4D"/>
    <w:rsid w:val="00466306"/>
    <w:rsid w:val="00470B9B"/>
    <w:rsid w:val="004725B6"/>
    <w:rsid w:val="00475380"/>
    <w:rsid w:val="004776F2"/>
    <w:rsid w:val="00484DED"/>
    <w:rsid w:val="00487C76"/>
    <w:rsid w:val="0049226C"/>
    <w:rsid w:val="00496973"/>
    <w:rsid w:val="004A2B4B"/>
    <w:rsid w:val="004A2F2B"/>
    <w:rsid w:val="004A32EB"/>
    <w:rsid w:val="004A3EF3"/>
    <w:rsid w:val="004A3F91"/>
    <w:rsid w:val="004A454E"/>
    <w:rsid w:val="004A5928"/>
    <w:rsid w:val="004B47B7"/>
    <w:rsid w:val="004B489B"/>
    <w:rsid w:val="004B4F3C"/>
    <w:rsid w:val="004B73BD"/>
    <w:rsid w:val="004C0B9B"/>
    <w:rsid w:val="004C1299"/>
    <w:rsid w:val="004C37DA"/>
    <w:rsid w:val="004C3BFC"/>
    <w:rsid w:val="004C4216"/>
    <w:rsid w:val="004C59A9"/>
    <w:rsid w:val="004C6A15"/>
    <w:rsid w:val="004C7430"/>
    <w:rsid w:val="004D1441"/>
    <w:rsid w:val="004D3CAC"/>
    <w:rsid w:val="004D49CB"/>
    <w:rsid w:val="004D517D"/>
    <w:rsid w:val="004D6A7B"/>
    <w:rsid w:val="004E2F36"/>
    <w:rsid w:val="004E4627"/>
    <w:rsid w:val="004E521C"/>
    <w:rsid w:val="004E6A97"/>
    <w:rsid w:val="004E7AB8"/>
    <w:rsid w:val="004E7E02"/>
    <w:rsid w:val="004F00F9"/>
    <w:rsid w:val="004F027D"/>
    <w:rsid w:val="004F1EE7"/>
    <w:rsid w:val="004F26F4"/>
    <w:rsid w:val="004F2A74"/>
    <w:rsid w:val="004F320A"/>
    <w:rsid w:val="004F32C6"/>
    <w:rsid w:val="004F3825"/>
    <w:rsid w:val="004F4BC9"/>
    <w:rsid w:val="004F4BFA"/>
    <w:rsid w:val="00503B68"/>
    <w:rsid w:val="005057F8"/>
    <w:rsid w:val="00505CD4"/>
    <w:rsid w:val="005065F7"/>
    <w:rsid w:val="00506A01"/>
    <w:rsid w:val="00507306"/>
    <w:rsid w:val="00510194"/>
    <w:rsid w:val="0051398F"/>
    <w:rsid w:val="00515187"/>
    <w:rsid w:val="00515434"/>
    <w:rsid w:val="0052275F"/>
    <w:rsid w:val="0052372B"/>
    <w:rsid w:val="00525AA0"/>
    <w:rsid w:val="00527A9C"/>
    <w:rsid w:val="00534361"/>
    <w:rsid w:val="00534740"/>
    <w:rsid w:val="00535115"/>
    <w:rsid w:val="005356EC"/>
    <w:rsid w:val="0053577E"/>
    <w:rsid w:val="00536340"/>
    <w:rsid w:val="00536B71"/>
    <w:rsid w:val="00536D4B"/>
    <w:rsid w:val="0054037B"/>
    <w:rsid w:val="00540E70"/>
    <w:rsid w:val="005413B0"/>
    <w:rsid w:val="00543A76"/>
    <w:rsid w:val="00543B25"/>
    <w:rsid w:val="0054490F"/>
    <w:rsid w:val="00546382"/>
    <w:rsid w:val="00546AED"/>
    <w:rsid w:val="00551CE7"/>
    <w:rsid w:val="005526EF"/>
    <w:rsid w:val="00553707"/>
    <w:rsid w:val="00553B07"/>
    <w:rsid w:val="0055455E"/>
    <w:rsid w:val="00555E37"/>
    <w:rsid w:val="00557CFA"/>
    <w:rsid w:val="00563228"/>
    <w:rsid w:val="00564F41"/>
    <w:rsid w:val="005675EE"/>
    <w:rsid w:val="005679BA"/>
    <w:rsid w:val="00570B30"/>
    <w:rsid w:val="00570F76"/>
    <w:rsid w:val="005738BA"/>
    <w:rsid w:val="00575916"/>
    <w:rsid w:val="0057640B"/>
    <w:rsid w:val="00576B32"/>
    <w:rsid w:val="0058020B"/>
    <w:rsid w:val="00581EBA"/>
    <w:rsid w:val="00582406"/>
    <w:rsid w:val="00582478"/>
    <w:rsid w:val="00583CFA"/>
    <w:rsid w:val="005901C9"/>
    <w:rsid w:val="005915F7"/>
    <w:rsid w:val="00595A1C"/>
    <w:rsid w:val="00595D83"/>
    <w:rsid w:val="0059607B"/>
    <w:rsid w:val="005962DB"/>
    <w:rsid w:val="00597681"/>
    <w:rsid w:val="005A2558"/>
    <w:rsid w:val="005A363E"/>
    <w:rsid w:val="005A54F1"/>
    <w:rsid w:val="005A5838"/>
    <w:rsid w:val="005A70F5"/>
    <w:rsid w:val="005B2438"/>
    <w:rsid w:val="005B4F69"/>
    <w:rsid w:val="005B5842"/>
    <w:rsid w:val="005B6EB8"/>
    <w:rsid w:val="005B730D"/>
    <w:rsid w:val="005B7A29"/>
    <w:rsid w:val="005C19F7"/>
    <w:rsid w:val="005C1AAE"/>
    <w:rsid w:val="005C1DE7"/>
    <w:rsid w:val="005C20C2"/>
    <w:rsid w:val="005C22AF"/>
    <w:rsid w:val="005C3F95"/>
    <w:rsid w:val="005C4759"/>
    <w:rsid w:val="005C74D3"/>
    <w:rsid w:val="005D15E0"/>
    <w:rsid w:val="005D2223"/>
    <w:rsid w:val="005D2879"/>
    <w:rsid w:val="005D29FA"/>
    <w:rsid w:val="005D3F78"/>
    <w:rsid w:val="005D5DFE"/>
    <w:rsid w:val="005D70AC"/>
    <w:rsid w:val="005E3916"/>
    <w:rsid w:val="005E4FDA"/>
    <w:rsid w:val="005E6A30"/>
    <w:rsid w:val="005E7C52"/>
    <w:rsid w:val="005F38A4"/>
    <w:rsid w:val="005F3B35"/>
    <w:rsid w:val="005F787E"/>
    <w:rsid w:val="00600662"/>
    <w:rsid w:val="00600FB0"/>
    <w:rsid w:val="006013CF"/>
    <w:rsid w:val="00605E66"/>
    <w:rsid w:val="00606686"/>
    <w:rsid w:val="00607068"/>
    <w:rsid w:val="006104F6"/>
    <w:rsid w:val="00613654"/>
    <w:rsid w:val="0062086C"/>
    <w:rsid w:val="006234BB"/>
    <w:rsid w:val="0062555B"/>
    <w:rsid w:val="00626855"/>
    <w:rsid w:val="00630570"/>
    <w:rsid w:val="0063057B"/>
    <w:rsid w:val="00631870"/>
    <w:rsid w:val="00631D4E"/>
    <w:rsid w:val="006341CD"/>
    <w:rsid w:val="00635622"/>
    <w:rsid w:val="006413AE"/>
    <w:rsid w:val="0064537C"/>
    <w:rsid w:val="00645479"/>
    <w:rsid w:val="00646176"/>
    <w:rsid w:val="006476A1"/>
    <w:rsid w:val="00647CB1"/>
    <w:rsid w:val="00650C35"/>
    <w:rsid w:val="006535FE"/>
    <w:rsid w:val="00655722"/>
    <w:rsid w:val="00656179"/>
    <w:rsid w:val="00656F6F"/>
    <w:rsid w:val="00660FB9"/>
    <w:rsid w:val="0066100B"/>
    <w:rsid w:val="0066138E"/>
    <w:rsid w:val="006616B9"/>
    <w:rsid w:val="006635B0"/>
    <w:rsid w:val="0067052F"/>
    <w:rsid w:val="00672B5E"/>
    <w:rsid w:val="0067343B"/>
    <w:rsid w:val="00673460"/>
    <w:rsid w:val="006737C2"/>
    <w:rsid w:val="00675508"/>
    <w:rsid w:val="006762BA"/>
    <w:rsid w:val="00680548"/>
    <w:rsid w:val="00685719"/>
    <w:rsid w:val="00686AB2"/>
    <w:rsid w:val="00690443"/>
    <w:rsid w:val="00690B91"/>
    <w:rsid w:val="00690BA9"/>
    <w:rsid w:val="006910DE"/>
    <w:rsid w:val="00692208"/>
    <w:rsid w:val="00694DE7"/>
    <w:rsid w:val="00696F0D"/>
    <w:rsid w:val="006A4008"/>
    <w:rsid w:val="006A618A"/>
    <w:rsid w:val="006A6D1F"/>
    <w:rsid w:val="006A70AC"/>
    <w:rsid w:val="006A72A5"/>
    <w:rsid w:val="006B1BD2"/>
    <w:rsid w:val="006B32D5"/>
    <w:rsid w:val="006B671C"/>
    <w:rsid w:val="006B796F"/>
    <w:rsid w:val="006C2936"/>
    <w:rsid w:val="006C2CC9"/>
    <w:rsid w:val="006C341D"/>
    <w:rsid w:val="006C4519"/>
    <w:rsid w:val="006C5BE3"/>
    <w:rsid w:val="006C646F"/>
    <w:rsid w:val="006C6984"/>
    <w:rsid w:val="006D144F"/>
    <w:rsid w:val="006D2F99"/>
    <w:rsid w:val="006D2FD7"/>
    <w:rsid w:val="006D39BA"/>
    <w:rsid w:val="006D3A9D"/>
    <w:rsid w:val="006D4A88"/>
    <w:rsid w:val="006D7FCE"/>
    <w:rsid w:val="006E00C3"/>
    <w:rsid w:val="006E1D67"/>
    <w:rsid w:val="006E3290"/>
    <w:rsid w:val="006E4CA1"/>
    <w:rsid w:val="006E5349"/>
    <w:rsid w:val="006E55F3"/>
    <w:rsid w:val="006E72B6"/>
    <w:rsid w:val="006F120F"/>
    <w:rsid w:val="006F4A55"/>
    <w:rsid w:val="006F5671"/>
    <w:rsid w:val="006F6B38"/>
    <w:rsid w:val="0070079A"/>
    <w:rsid w:val="00701ECD"/>
    <w:rsid w:val="007026DE"/>
    <w:rsid w:val="00702A5E"/>
    <w:rsid w:val="00704066"/>
    <w:rsid w:val="00705586"/>
    <w:rsid w:val="00707F8A"/>
    <w:rsid w:val="00710481"/>
    <w:rsid w:val="0071085D"/>
    <w:rsid w:val="0071165F"/>
    <w:rsid w:val="0071257A"/>
    <w:rsid w:val="0071268F"/>
    <w:rsid w:val="00715B24"/>
    <w:rsid w:val="00716261"/>
    <w:rsid w:val="00716D95"/>
    <w:rsid w:val="0071754F"/>
    <w:rsid w:val="00722EF6"/>
    <w:rsid w:val="00723A37"/>
    <w:rsid w:val="00723E4E"/>
    <w:rsid w:val="007257D7"/>
    <w:rsid w:val="00726AC4"/>
    <w:rsid w:val="0073502C"/>
    <w:rsid w:val="007368EB"/>
    <w:rsid w:val="0073692A"/>
    <w:rsid w:val="007372A7"/>
    <w:rsid w:val="007374C7"/>
    <w:rsid w:val="00737AD9"/>
    <w:rsid w:val="00740C7E"/>
    <w:rsid w:val="00744A91"/>
    <w:rsid w:val="00744FA3"/>
    <w:rsid w:val="00745C86"/>
    <w:rsid w:val="00745C9C"/>
    <w:rsid w:val="00746E1D"/>
    <w:rsid w:val="007472A1"/>
    <w:rsid w:val="00750506"/>
    <w:rsid w:val="00750FC6"/>
    <w:rsid w:val="007514CD"/>
    <w:rsid w:val="00753825"/>
    <w:rsid w:val="00753881"/>
    <w:rsid w:val="007549AE"/>
    <w:rsid w:val="00754A33"/>
    <w:rsid w:val="00754F72"/>
    <w:rsid w:val="0075507F"/>
    <w:rsid w:val="00763093"/>
    <w:rsid w:val="007662DF"/>
    <w:rsid w:val="00766AD6"/>
    <w:rsid w:val="00766BA5"/>
    <w:rsid w:val="00774A2C"/>
    <w:rsid w:val="00775062"/>
    <w:rsid w:val="007751AC"/>
    <w:rsid w:val="00775EF7"/>
    <w:rsid w:val="007762C4"/>
    <w:rsid w:val="007766E5"/>
    <w:rsid w:val="0077691A"/>
    <w:rsid w:val="00776A4B"/>
    <w:rsid w:val="00781351"/>
    <w:rsid w:val="00783A1B"/>
    <w:rsid w:val="0078478B"/>
    <w:rsid w:val="00787FB7"/>
    <w:rsid w:val="0079069D"/>
    <w:rsid w:val="0079377E"/>
    <w:rsid w:val="007A0669"/>
    <w:rsid w:val="007A0D45"/>
    <w:rsid w:val="007A3645"/>
    <w:rsid w:val="007A42D7"/>
    <w:rsid w:val="007A5165"/>
    <w:rsid w:val="007A51BE"/>
    <w:rsid w:val="007A6477"/>
    <w:rsid w:val="007A6E4B"/>
    <w:rsid w:val="007B1211"/>
    <w:rsid w:val="007B16F5"/>
    <w:rsid w:val="007B17EB"/>
    <w:rsid w:val="007B3595"/>
    <w:rsid w:val="007B5830"/>
    <w:rsid w:val="007B60A6"/>
    <w:rsid w:val="007B6A5B"/>
    <w:rsid w:val="007C378F"/>
    <w:rsid w:val="007C3FC3"/>
    <w:rsid w:val="007C7536"/>
    <w:rsid w:val="007C7C26"/>
    <w:rsid w:val="007D0D20"/>
    <w:rsid w:val="007D4216"/>
    <w:rsid w:val="007D7996"/>
    <w:rsid w:val="007D7A6F"/>
    <w:rsid w:val="007E116C"/>
    <w:rsid w:val="007E301B"/>
    <w:rsid w:val="007E35F0"/>
    <w:rsid w:val="007E3969"/>
    <w:rsid w:val="007E3DD5"/>
    <w:rsid w:val="007E3FFC"/>
    <w:rsid w:val="007E7512"/>
    <w:rsid w:val="007E7602"/>
    <w:rsid w:val="007F0F9A"/>
    <w:rsid w:val="007F27D5"/>
    <w:rsid w:val="007F28E7"/>
    <w:rsid w:val="007F3503"/>
    <w:rsid w:val="007F442D"/>
    <w:rsid w:val="008009CD"/>
    <w:rsid w:val="008014EF"/>
    <w:rsid w:val="00801C07"/>
    <w:rsid w:val="00802648"/>
    <w:rsid w:val="00804BD6"/>
    <w:rsid w:val="0080724A"/>
    <w:rsid w:val="00810984"/>
    <w:rsid w:val="00814359"/>
    <w:rsid w:val="0081452F"/>
    <w:rsid w:val="0081750C"/>
    <w:rsid w:val="00817B46"/>
    <w:rsid w:val="00822314"/>
    <w:rsid w:val="00822503"/>
    <w:rsid w:val="00823D75"/>
    <w:rsid w:val="008271CA"/>
    <w:rsid w:val="008344FC"/>
    <w:rsid w:val="008354C8"/>
    <w:rsid w:val="00835886"/>
    <w:rsid w:val="00836780"/>
    <w:rsid w:val="008424F2"/>
    <w:rsid w:val="00843682"/>
    <w:rsid w:val="0084700D"/>
    <w:rsid w:val="00850150"/>
    <w:rsid w:val="008550E5"/>
    <w:rsid w:val="00856CFA"/>
    <w:rsid w:val="00861C9A"/>
    <w:rsid w:val="00863B79"/>
    <w:rsid w:val="0086526D"/>
    <w:rsid w:val="0086553A"/>
    <w:rsid w:val="00865770"/>
    <w:rsid w:val="00867055"/>
    <w:rsid w:val="008728F5"/>
    <w:rsid w:val="008741BE"/>
    <w:rsid w:val="00874BDD"/>
    <w:rsid w:val="00875BFF"/>
    <w:rsid w:val="0087690D"/>
    <w:rsid w:val="00881039"/>
    <w:rsid w:val="00881618"/>
    <w:rsid w:val="0089241B"/>
    <w:rsid w:val="00893AFA"/>
    <w:rsid w:val="00896947"/>
    <w:rsid w:val="008A12BF"/>
    <w:rsid w:val="008A480E"/>
    <w:rsid w:val="008A5A89"/>
    <w:rsid w:val="008A7AE2"/>
    <w:rsid w:val="008B6A67"/>
    <w:rsid w:val="008C01EC"/>
    <w:rsid w:val="008C4AE4"/>
    <w:rsid w:val="008C6FCD"/>
    <w:rsid w:val="008D1C9C"/>
    <w:rsid w:val="008D3129"/>
    <w:rsid w:val="008D442A"/>
    <w:rsid w:val="008D4D42"/>
    <w:rsid w:val="008D50E2"/>
    <w:rsid w:val="008D53D3"/>
    <w:rsid w:val="008E0B2B"/>
    <w:rsid w:val="008E0F48"/>
    <w:rsid w:val="008E17D4"/>
    <w:rsid w:val="008E2B03"/>
    <w:rsid w:val="008E4516"/>
    <w:rsid w:val="008E506E"/>
    <w:rsid w:val="008E59DB"/>
    <w:rsid w:val="008F04E6"/>
    <w:rsid w:val="008F068B"/>
    <w:rsid w:val="008F0B28"/>
    <w:rsid w:val="008F0FD7"/>
    <w:rsid w:val="008F2315"/>
    <w:rsid w:val="008F27D9"/>
    <w:rsid w:val="008F3762"/>
    <w:rsid w:val="008F567D"/>
    <w:rsid w:val="008F5BFB"/>
    <w:rsid w:val="008F61D2"/>
    <w:rsid w:val="00900E09"/>
    <w:rsid w:val="00901641"/>
    <w:rsid w:val="00901BA5"/>
    <w:rsid w:val="0090231B"/>
    <w:rsid w:val="00903879"/>
    <w:rsid w:val="0090452F"/>
    <w:rsid w:val="00905A36"/>
    <w:rsid w:val="00910043"/>
    <w:rsid w:val="0091010D"/>
    <w:rsid w:val="00911D0B"/>
    <w:rsid w:val="0091407F"/>
    <w:rsid w:val="0091496B"/>
    <w:rsid w:val="00915440"/>
    <w:rsid w:val="00915A70"/>
    <w:rsid w:val="009166BD"/>
    <w:rsid w:val="0092008F"/>
    <w:rsid w:val="00920521"/>
    <w:rsid w:val="00922EC9"/>
    <w:rsid w:val="009252BC"/>
    <w:rsid w:val="00925ADA"/>
    <w:rsid w:val="00925BDF"/>
    <w:rsid w:val="009266DE"/>
    <w:rsid w:val="0092704B"/>
    <w:rsid w:val="009278CB"/>
    <w:rsid w:val="00927E8A"/>
    <w:rsid w:val="0093042A"/>
    <w:rsid w:val="009326CD"/>
    <w:rsid w:val="00933986"/>
    <w:rsid w:val="00933A5A"/>
    <w:rsid w:val="00934B5B"/>
    <w:rsid w:val="00936B45"/>
    <w:rsid w:val="00937C8C"/>
    <w:rsid w:val="00941004"/>
    <w:rsid w:val="00944C3A"/>
    <w:rsid w:val="00944E04"/>
    <w:rsid w:val="00945A00"/>
    <w:rsid w:val="00947DD6"/>
    <w:rsid w:val="00947F4A"/>
    <w:rsid w:val="00950C82"/>
    <w:rsid w:val="00951AEF"/>
    <w:rsid w:val="0095547A"/>
    <w:rsid w:val="00956EB1"/>
    <w:rsid w:val="00960FF5"/>
    <w:rsid w:val="00961836"/>
    <w:rsid w:val="00963239"/>
    <w:rsid w:val="0096335C"/>
    <w:rsid w:val="009648C2"/>
    <w:rsid w:val="00965419"/>
    <w:rsid w:val="009713F7"/>
    <w:rsid w:val="009719CE"/>
    <w:rsid w:val="00972584"/>
    <w:rsid w:val="00973212"/>
    <w:rsid w:val="009750F4"/>
    <w:rsid w:val="00975D93"/>
    <w:rsid w:val="00975E2B"/>
    <w:rsid w:val="00976172"/>
    <w:rsid w:val="00977010"/>
    <w:rsid w:val="00980CDA"/>
    <w:rsid w:val="0098198D"/>
    <w:rsid w:val="009820A3"/>
    <w:rsid w:val="00982181"/>
    <w:rsid w:val="00983112"/>
    <w:rsid w:val="00983629"/>
    <w:rsid w:val="00985D05"/>
    <w:rsid w:val="00987A38"/>
    <w:rsid w:val="0099081E"/>
    <w:rsid w:val="00990E64"/>
    <w:rsid w:val="00997AD9"/>
    <w:rsid w:val="009A25B6"/>
    <w:rsid w:val="009A3178"/>
    <w:rsid w:val="009A6AAF"/>
    <w:rsid w:val="009A77A9"/>
    <w:rsid w:val="009B101A"/>
    <w:rsid w:val="009B15DB"/>
    <w:rsid w:val="009B4C1D"/>
    <w:rsid w:val="009B4C9D"/>
    <w:rsid w:val="009B4D61"/>
    <w:rsid w:val="009B5522"/>
    <w:rsid w:val="009B7556"/>
    <w:rsid w:val="009C13F9"/>
    <w:rsid w:val="009C3FBD"/>
    <w:rsid w:val="009C4AE1"/>
    <w:rsid w:val="009C4D7B"/>
    <w:rsid w:val="009C4E0D"/>
    <w:rsid w:val="009C601A"/>
    <w:rsid w:val="009C6172"/>
    <w:rsid w:val="009C6788"/>
    <w:rsid w:val="009D048E"/>
    <w:rsid w:val="009D3528"/>
    <w:rsid w:val="009D418D"/>
    <w:rsid w:val="009D754D"/>
    <w:rsid w:val="009E1D54"/>
    <w:rsid w:val="009E278C"/>
    <w:rsid w:val="009E3E1A"/>
    <w:rsid w:val="009E4347"/>
    <w:rsid w:val="009E5EC3"/>
    <w:rsid w:val="009E6677"/>
    <w:rsid w:val="009E68D6"/>
    <w:rsid w:val="009E6DAF"/>
    <w:rsid w:val="009F0C91"/>
    <w:rsid w:val="009F0FE8"/>
    <w:rsid w:val="009F1603"/>
    <w:rsid w:val="009F1D02"/>
    <w:rsid w:val="009F26E0"/>
    <w:rsid w:val="009F3AAD"/>
    <w:rsid w:val="00A00248"/>
    <w:rsid w:val="00A00700"/>
    <w:rsid w:val="00A00EEB"/>
    <w:rsid w:val="00A03E9E"/>
    <w:rsid w:val="00A03FB3"/>
    <w:rsid w:val="00A070F3"/>
    <w:rsid w:val="00A078C5"/>
    <w:rsid w:val="00A1375A"/>
    <w:rsid w:val="00A153CE"/>
    <w:rsid w:val="00A23BFC"/>
    <w:rsid w:val="00A24959"/>
    <w:rsid w:val="00A26314"/>
    <w:rsid w:val="00A274FA"/>
    <w:rsid w:val="00A30190"/>
    <w:rsid w:val="00A30720"/>
    <w:rsid w:val="00A315B9"/>
    <w:rsid w:val="00A329BF"/>
    <w:rsid w:val="00A36BFB"/>
    <w:rsid w:val="00A4186F"/>
    <w:rsid w:val="00A421C1"/>
    <w:rsid w:val="00A43643"/>
    <w:rsid w:val="00A436BC"/>
    <w:rsid w:val="00A4519D"/>
    <w:rsid w:val="00A473E2"/>
    <w:rsid w:val="00A475E8"/>
    <w:rsid w:val="00A514A2"/>
    <w:rsid w:val="00A51CDD"/>
    <w:rsid w:val="00A52CD3"/>
    <w:rsid w:val="00A545E3"/>
    <w:rsid w:val="00A54A09"/>
    <w:rsid w:val="00A54CD1"/>
    <w:rsid w:val="00A56D8B"/>
    <w:rsid w:val="00A62570"/>
    <w:rsid w:val="00A625E0"/>
    <w:rsid w:val="00A64FDE"/>
    <w:rsid w:val="00A7097F"/>
    <w:rsid w:val="00A714FE"/>
    <w:rsid w:val="00A722D8"/>
    <w:rsid w:val="00A75E4C"/>
    <w:rsid w:val="00A75EF9"/>
    <w:rsid w:val="00A7616A"/>
    <w:rsid w:val="00A7618F"/>
    <w:rsid w:val="00A77F97"/>
    <w:rsid w:val="00A81C5C"/>
    <w:rsid w:val="00A81EF5"/>
    <w:rsid w:val="00A81F74"/>
    <w:rsid w:val="00A82545"/>
    <w:rsid w:val="00A83492"/>
    <w:rsid w:val="00A87308"/>
    <w:rsid w:val="00A87DDF"/>
    <w:rsid w:val="00A9304E"/>
    <w:rsid w:val="00A93828"/>
    <w:rsid w:val="00A9424B"/>
    <w:rsid w:val="00A9455A"/>
    <w:rsid w:val="00A945D6"/>
    <w:rsid w:val="00A96BBD"/>
    <w:rsid w:val="00A9788F"/>
    <w:rsid w:val="00A97C94"/>
    <w:rsid w:val="00AA0052"/>
    <w:rsid w:val="00AA0166"/>
    <w:rsid w:val="00AA07E5"/>
    <w:rsid w:val="00AA0D43"/>
    <w:rsid w:val="00AA5B35"/>
    <w:rsid w:val="00AA5CBF"/>
    <w:rsid w:val="00AA6650"/>
    <w:rsid w:val="00AA7581"/>
    <w:rsid w:val="00AB312A"/>
    <w:rsid w:val="00AB3468"/>
    <w:rsid w:val="00AB4B97"/>
    <w:rsid w:val="00AB60E8"/>
    <w:rsid w:val="00AC0939"/>
    <w:rsid w:val="00AC0BB9"/>
    <w:rsid w:val="00AC0C21"/>
    <w:rsid w:val="00AC5A1F"/>
    <w:rsid w:val="00AC5E72"/>
    <w:rsid w:val="00AC7DBF"/>
    <w:rsid w:val="00AD2536"/>
    <w:rsid w:val="00AD3F9B"/>
    <w:rsid w:val="00AD51E3"/>
    <w:rsid w:val="00AE1CD1"/>
    <w:rsid w:val="00AE3300"/>
    <w:rsid w:val="00AE34D9"/>
    <w:rsid w:val="00AE52F2"/>
    <w:rsid w:val="00AF19C8"/>
    <w:rsid w:val="00B00D36"/>
    <w:rsid w:val="00B01B77"/>
    <w:rsid w:val="00B03363"/>
    <w:rsid w:val="00B06BD3"/>
    <w:rsid w:val="00B071DD"/>
    <w:rsid w:val="00B07B9F"/>
    <w:rsid w:val="00B1009D"/>
    <w:rsid w:val="00B10A95"/>
    <w:rsid w:val="00B11230"/>
    <w:rsid w:val="00B1197D"/>
    <w:rsid w:val="00B1276C"/>
    <w:rsid w:val="00B1383F"/>
    <w:rsid w:val="00B15478"/>
    <w:rsid w:val="00B1659B"/>
    <w:rsid w:val="00B16E47"/>
    <w:rsid w:val="00B20BDD"/>
    <w:rsid w:val="00B24E4E"/>
    <w:rsid w:val="00B24FC9"/>
    <w:rsid w:val="00B3076C"/>
    <w:rsid w:val="00B31E9C"/>
    <w:rsid w:val="00B34753"/>
    <w:rsid w:val="00B34E6D"/>
    <w:rsid w:val="00B40F62"/>
    <w:rsid w:val="00B419F7"/>
    <w:rsid w:val="00B423DA"/>
    <w:rsid w:val="00B43947"/>
    <w:rsid w:val="00B4490F"/>
    <w:rsid w:val="00B44B2A"/>
    <w:rsid w:val="00B4667D"/>
    <w:rsid w:val="00B527BA"/>
    <w:rsid w:val="00B52804"/>
    <w:rsid w:val="00B5548A"/>
    <w:rsid w:val="00B57B80"/>
    <w:rsid w:val="00B6113E"/>
    <w:rsid w:val="00B62FC8"/>
    <w:rsid w:val="00B65ADE"/>
    <w:rsid w:val="00B71538"/>
    <w:rsid w:val="00B73148"/>
    <w:rsid w:val="00B7331A"/>
    <w:rsid w:val="00B736AB"/>
    <w:rsid w:val="00B74F4D"/>
    <w:rsid w:val="00B83130"/>
    <w:rsid w:val="00B83180"/>
    <w:rsid w:val="00B83BC2"/>
    <w:rsid w:val="00B85E4A"/>
    <w:rsid w:val="00B875A2"/>
    <w:rsid w:val="00B903FB"/>
    <w:rsid w:val="00B95291"/>
    <w:rsid w:val="00B96764"/>
    <w:rsid w:val="00B97915"/>
    <w:rsid w:val="00BA16F4"/>
    <w:rsid w:val="00BA24F4"/>
    <w:rsid w:val="00BA25F7"/>
    <w:rsid w:val="00BA33D3"/>
    <w:rsid w:val="00BA46D0"/>
    <w:rsid w:val="00BA6922"/>
    <w:rsid w:val="00BA704E"/>
    <w:rsid w:val="00BA7963"/>
    <w:rsid w:val="00BA7DA2"/>
    <w:rsid w:val="00BA7EDA"/>
    <w:rsid w:val="00BB08E3"/>
    <w:rsid w:val="00BB12DE"/>
    <w:rsid w:val="00BB1B6E"/>
    <w:rsid w:val="00BB2091"/>
    <w:rsid w:val="00BB2470"/>
    <w:rsid w:val="00BB2E8A"/>
    <w:rsid w:val="00BB3285"/>
    <w:rsid w:val="00BB35DA"/>
    <w:rsid w:val="00BB35EF"/>
    <w:rsid w:val="00BB3988"/>
    <w:rsid w:val="00BB4E11"/>
    <w:rsid w:val="00BB5DF1"/>
    <w:rsid w:val="00BB5E9D"/>
    <w:rsid w:val="00BC1658"/>
    <w:rsid w:val="00BC2544"/>
    <w:rsid w:val="00BC4246"/>
    <w:rsid w:val="00BC4985"/>
    <w:rsid w:val="00BC5B64"/>
    <w:rsid w:val="00BC6DEE"/>
    <w:rsid w:val="00BC7C6F"/>
    <w:rsid w:val="00BD0B4F"/>
    <w:rsid w:val="00BD0CB3"/>
    <w:rsid w:val="00BD1507"/>
    <w:rsid w:val="00BD270E"/>
    <w:rsid w:val="00BD328B"/>
    <w:rsid w:val="00BD32D0"/>
    <w:rsid w:val="00BD5238"/>
    <w:rsid w:val="00BD733B"/>
    <w:rsid w:val="00BD7B33"/>
    <w:rsid w:val="00BE107B"/>
    <w:rsid w:val="00BE27DA"/>
    <w:rsid w:val="00BE2B64"/>
    <w:rsid w:val="00BE31FA"/>
    <w:rsid w:val="00BE72A6"/>
    <w:rsid w:val="00BF0472"/>
    <w:rsid w:val="00BF0712"/>
    <w:rsid w:val="00BF325D"/>
    <w:rsid w:val="00BF337F"/>
    <w:rsid w:val="00BF4984"/>
    <w:rsid w:val="00BF4B50"/>
    <w:rsid w:val="00BF6159"/>
    <w:rsid w:val="00C01274"/>
    <w:rsid w:val="00C01571"/>
    <w:rsid w:val="00C048DA"/>
    <w:rsid w:val="00C065E9"/>
    <w:rsid w:val="00C06782"/>
    <w:rsid w:val="00C108DF"/>
    <w:rsid w:val="00C119DC"/>
    <w:rsid w:val="00C143D5"/>
    <w:rsid w:val="00C14664"/>
    <w:rsid w:val="00C1507C"/>
    <w:rsid w:val="00C206B1"/>
    <w:rsid w:val="00C20848"/>
    <w:rsid w:val="00C21151"/>
    <w:rsid w:val="00C22C35"/>
    <w:rsid w:val="00C24ADC"/>
    <w:rsid w:val="00C2502C"/>
    <w:rsid w:val="00C2670C"/>
    <w:rsid w:val="00C2691B"/>
    <w:rsid w:val="00C26CA6"/>
    <w:rsid w:val="00C278B9"/>
    <w:rsid w:val="00C317D2"/>
    <w:rsid w:val="00C32D59"/>
    <w:rsid w:val="00C359ED"/>
    <w:rsid w:val="00C36BCA"/>
    <w:rsid w:val="00C37E0A"/>
    <w:rsid w:val="00C43F8E"/>
    <w:rsid w:val="00C44D67"/>
    <w:rsid w:val="00C50005"/>
    <w:rsid w:val="00C51C05"/>
    <w:rsid w:val="00C52CB5"/>
    <w:rsid w:val="00C53406"/>
    <w:rsid w:val="00C53A78"/>
    <w:rsid w:val="00C548F0"/>
    <w:rsid w:val="00C5595F"/>
    <w:rsid w:val="00C56972"/>
    <w:rsid w:val="00C56AAE"/>
    <w:rsid w:val="00C56EB1"/>
    <w:rsid w:val="00C56F5B"/>
    <w:rsid w:val="00C60472"/>
    <w:rsid w:val="00C619D9"/>
    <w:rsid w:val="00C61B2D"/>
    <w:rsid w:val="00C61CFC"/>
    <w:rsid w:val="00C62416"/>
    <w:rsid w:val="00C6348B"/>
    <w:rsid w:val="00C6732E"/>
    <w:rsid w:val="00C72CE2"/>
    <w:rsid w:val="00C733FA"/>
    <w:rsid w:val="00C734D7"/>
    <w:rsid w:val="00C7571B"/>
    <w:rsid w:val="00C77BB4"/>
    <w:rsid w:val="00C80AD9"/>
    <w:rsid w:val="00C90931"/>
    <w:rsid w:val="00C91C12"/>
    <w:rsid w:val="00C92EDF"/>
    <w:rsid w:val="00C94808"/>
    <w:rsid w:val="00C96B9E"/>
    <w:rsid w:val="00CA1DF5"/>
    <w:rsid w:val="00CA3CDA"/>
    <w:rsid w:val="00CA5309"/>
    <w:rsid w:val="00CA58C1"/>
    <w:rsid w:val="00CA6F7A"/>
    <w:rsid w:val="00CA7DF6"/>
    <w:rsid w:val="00CB2750"/>
    <w:rsid w:val="00CB3485"/>
    <w:rsid w:val="00CB41E7"/>
    <w:rsid w:val="00CC32FD"/>
    <w:rsid w:val="00CD009D"/>
    <w:rsid w:val="00CD05D9"/>
    <w:rsid w:val="00CD0FB1"/>
    <w:rsid w:val="00CD1904"/>
    <w:rsid w:val="00CD318A"/>
    <w:rsid w:val="00CD32C8"/>
    <w:rsid w:val="00CD372A"/>
    <w:rsid w:val="00CD4011"/>
    <w:rsid w:val="00CD4B13"/>
    <w:rsid w:val="00CD505F"/>
    <w:rsid w:val="00CD55A5"/>
    <w:rsid w:val="00CE262B"/>
    <w:rsid w:val="00CE44C6"/>
    <w:rsid w:val="00CE4F3E"/>
    <w:rsid w:val="00CE5167"/>
    <w:rsid w:val="00CE7249"/>
    <w:rsid w:val="00CF1C8F"/>
    <w:rsid w:val="00CF29B5"/>
    <w:rsid w:val="00D04C7B"/>
    <w:rsid w:val="00D0540F"/>
    <w:rsid w:val="00D05C39"/>
    <w:rsid w:val="00D06CF1"/>
    <w:rsid w:val="00D100A6"/>
    <w:rsid w:val="00D14AB5"/>
    <w:rsid w:val="00D14F25"/>
    <w:rsid w:val="00D15A7D"/>
    <w:rsid w:val="00D16197"/>
    <w:rsid w:val="00D1660C"/>
    <w:rsid w:val="00D16F08"/>
    <w:rsid w:val="00D20314"/>
    <w:rsid w:val="00D220DC"/>
    <w:rsid w:val="00D22636"/>
    <w:rsid w:val="00D23B8C"/>
    <w:rsid w:val="00D252BC"/>
    <w:rsid w:val="00D27D23"/>
    <w:rsid w:val="00D32EAA"/>
    <w:rsid w:val="00D33798"/>
    <w:rsid w:val="00D34965"/>
    <w:rsid w:val="00D41339"/>
    <w:rsid w:val="00D436CB"/>
    <w:rsid w:val="00D4384E"/>
    <w:rsid w:val="00D456D7"/>
    <w:rsid w:val="00D45720"/>
    <w:rsid w:val="00D47875"/>
    <w:rsid w:val="00D50B84"/>
    <w:rsid w:val="00D5181F"/>
    <w:rsid w:val="00D52F25"/>
    <w:rsid w:val="00D53F7F"/>
    <w:rsid w:val="00D553C9"/>
    <w:rsid w:val="00D55F80"/>
    <w:rsid w:val="00D6279A"/>
    <w:rsid w:val="00D63A1B"/>
    <w:rsid w:val="00D642AB"/>
    <w:rsid w:val="00D65DE4"/>
    <w:rsid w:val="00D663CD"/>
    <w:rsid w:val="00D669D6"/>
    <w:rsid w:val="00D7303D"/>
    <w:rsid w:val="00D74DC2"/>
    <w:rsid w:val="00D756FD"/>
    <w:rsid w:val="00D75DE6"/>
    <w:rsid w:val="00D76F6E"/>
    <w:rsid w:val="00D776B8"/>
    <w:rsid w:val="00D822FE"/>
    <w:rsid w:val="00D8425A"/>
    <w:rsid w:val="00D84BC1"/>
    <w:rsid w:val="00D85CF0"/>
    <w:rsid w:val="00D86001"/>
    <w:rsid w:val="00D873B2"/>
    <w:rsid w:val="00D9375D"/>
    <w:rsid w:val="00D94AA5"/>
    <w:rsid w:val="00D96349"/>
    <w:rsid w:val="00D96F1A"/>
    <w:rsid w:val="00D97F4A"/>
    <w:rsid w:val="00DA0AD0"/>
    <w:rsid w:val="00DA19AE"/>
    <w:rsid w:val="00DA4D93"/>
    <w:rsid w:val="00DA7163"/>
    <w:rsid w:val="00DB24A3"/>
    <w:rsid w:val="00DB41D8"/>
    <w:rsid w:val="00DB64F0"/>
    <w:rsid w:val="00DB77BB"/>
    <w:rsid w:val="00DB78AA"/>
    <w:rsid w:val="00DC144A"/>
    <w:rsid w:val="00DC52DF"/>
    <w:rsid w:val="00DC6BAA"/>
    <w:rsid w:val="00DD08F4"/>
    <w:rsid w:val="00DD0B43"/>
    <w:rsid w:val="00DD0CCE"/>
    <w:rsid w:val="00DD180B"/>
    <w:rsid w:val="00DD51AD"/>
    <w:rsid w:val="00DD5BC4"/>
    <w:rsid w:val="00DD6460"/>
    <w:rsid w:val="00DD6889"/>
    <w:rsid w:val="00DD6F6E"/>
    <w:rsid w:val="00DE0B76"/>
    <w:rsid w:val="00DE56BA"/>
    <w:rsid w:val="00DE5AB0"/>
    <w:rsid w:val="00DE6F76"/>
    <w:rsid w:val="00DE7D2C"/>
    <w:rsid w:val="00DF1A3B"/>
    <w:rsid w:val="00DF3FA3"/>
    <w:rsid w:val="00DF4170"/>
    <w:rsid w:val="00DF5E43"/>
    <w:rsid w:val="00E04FE7"/>
    <w:rsid w:val="00E057FE"/>
    <w:rsid w:val="00E065D0"/>
    <w:rsid w:val="00E104E8"/>
    <w:rsid w:val="00E10E37"/>
    <w:rsid w:val="00E11134"/>
    <w:rsid w:val="00E113B3"/>
    <w:rsid w:val="00E12F6A"/>
    <w:rsid w:val="00E142AD"/>
    <w:rsid w:val="00E14925"/>
    <w:rsid w:val="00E152FE"/>
    <w:rsid w:val="00E2199E"/>
    <w:rsid w:val="00E225EC"/>
    <w:rsid w:val="00E22E2D"/>
    <w:rsid w:val="00E23070"/>
    <w:rsid w:val="00E23D6E"/>
    <w:rsid w:val="00E24CE7"/>
    <w:rsid w:val="00E2790A"/>
    <w:rsid w:val="00E30048"/>
    <w:rsid w:val="00E30B0B"/>
    <w:rsid w:val="00E31BFC"/>
    <w:rsid w:val="00E33839"/>
    <w:rsid w:val="00E3627E"/>
    <w:rsid w:val="00E36D61"/>
    <w:rsid w:val="00E36DA0"/>
    <w:rsid w:val="00E37A44"/>
    <w:rsid w:val="00E41B4F"/>
    <w:rsid w:val="00E41BD2"/>
    <w:rsid w:val="00E41ED0"/>
    <w:rsid w:val="00E42920"/>
    <w:rsid w:val="00E42F54"/>
    <w:rsid w:val="00E44074"/>
    <w:rsid w:val="00E45480"/>
    <w:rsid w:val="00E507D8"/>
    <w:rsid w:val="00E5169B"/>
    <w:rsid w:val="00E52498"/>
    <w:rsid w:val="00E54D8C"/>
    <w:rsid w:val="00E57281"/>
    <w:rsid w:val="00E57D44"/>
    <w:rsid w:val="00E57E63"/>
    <w:rsid w:val="00E60CBE"/>
    <w:rsid w:val="00E62302"/>
    <w:rsid w:val="00E63FC1"/>
    <w:rsid w:val="00E66A13"/>
    <w:rsid w:val="00E672A1"/>
    <w:rsid w:val="00E7045A"/>
    <w:rsid w:val="00E70573"/>
    <w:rsid w:val="00E71B5C"/>
    <w:rsid w:val="00E72763"/>
    <w:rsid w:val="00E72A5B"/>
    <w:rsid w:val="00E73B17"/>
    <w:rsid w:val="00E73CB8"/>
    <w:rsid w:val="00E755B7"/>
    <w:rsid w:val="00E76B45"/>
    <w:rsid w:val="00E801F2"/>
    <w:rsid w:val="00E80D45"/>
    <w:rsid w:val="00E815D1"/>
    <w:rsid w:val="00E827D7"/>
    <w:rsid w:val="00E846BC"/>
    <w:rsid w:val="00E85348"/>
    <w:rsid w:val="00E8545E"/>
    <w:rsid w:val="00E8753D"/>
    <w:rsid w:val="00E87C6A"/>
    <w:rsid w:val="00E90378"/>
    <w:rsid w:val="00E906B7"/>
    <w:rsid w:val="00E97CE5"/>
    <w:rsid w:val="00EA4CE9"/>
    <w:rsid w:val="00EA4E3A"/>
    <w:rsid w:val="00EA5D28"/>
    <w:rsid w:val="00EA713F"/>
    <w:rsid w:val="00EA7B84"/>
    <w:rsid w:val="00EA7CEB"/>
    <w:rsid w:val="00EB0746"/>
    <w:rsid w:val="00EB08C5"/>
    <w:rsid w:val="00EB547A"/>
    <w:rsid w:val="00EB7FBC"/>
    <w:rsid w:val="00EC0130"/>
    <w:rsid w:val="00EC1DB0"/>
    <w:rsid w:val="00EC265F"/>
    <w:rsid w:val="00EC2D50"/>
    <w:rsid w:val="00EC549A"/>
    <w:rsid w:val="00EC6A8B"/>
    <w:rsid w:val="00EC7C3D"/>
    <w:rsid w:val="00ED028C"/>
    <w:rsid w:val="00ED073C"/>
    <w:rsid w:val="00ED3C0B"/>
    <w:rsid w:val="00ED4017"/>
    <w:rsid w:val="00ED5424"/>
    <w:rsid w:val="00ED5927"/>
    <w:rsid w:val="00ED67A5"/>
    <w:rsid w:val="00ED7389"/>
    <w:rsid w:val="00ED73D0"/>
    <w:rsid w:val="00ED7CE4"/>
    <w:rsid w:val="00EE1CF7"/>
    <w:rsid w:val="00EE3AB6"/>
    <w:rsid w:val="00EE7D41"/>
    <w:rsid w:val="00EF0454"/>
    <w:rsid w:val="00EF144F"/>
    <w:rsid w:val="00EF18B2"/>
    <w:rsid w:val="00EF1B41"/>
    <w:rsid w:val="00EF1BB4"/>
    <w:rsid w:val="00EF2521"/>
    <w:rsid w:val="00EF3D4D"/>
    <w:rsid w:val="00EF472C"/>
    <w:rsid w:val="00F04F7C"/>
    <w:rsid w:val="00F103AF"/>
    <w:rsid w:val="00F13E8E"/>
    <w:rsid w:val="00F15302"/>
    <w:rsid w:val="00F162A6"/>
    <w:rsid w:val="00F20992"/>
    <w:rsid w:val="00F22099"/>
    <w:rsid w:val="00F22FB4"/>
    <w:rsid w:val="00F23DF9"/>
    <w:rsid w:val="00F25FFE"/>
    <w:rsid w:val="00F279FC"/>
    <w:rsid w:val="00F302C3"/>
    <w:rsid w:val="00F30AFE"/>
    <w:rsid w:val="00F30CFC"/>
    <w:rsid w:val="00F32422"/>
    <w:rsid w:val="00F3370E"/>
    <w:rsid w:val="00F3502F"/>
    <w:rsid w:val="00F40967"/>
    <w:rsid w:val="00F425F0"/>
    <w:rsid w:val="00F4610E"/>
    <w:rsid w:val="00F4685D"/>
    <w:rsid w:val="00F47770"/>
    <w:rsid w:val="00F500E8"/>
    <w:rsid w:val="00F51BD7"/>
    <w:rsid w:val="00F566C0"/>
    <w:rsid w:val="00F6377E"/>
    <w:rsid w:val="00F6509F"/>
    <w:rsid w:val="00F651CF"/>
    <w:rsid w:val="00F65422"/>
    <w:rsid w:val="00F718EE"/>
    <w:rsid w:val="00F73318"/>
    <w:rsid w:val="00F75BD0"/>
    <w:rsid w:val="00F777AB"/>
    <w:rsid w:val="00F80B1F"/>
    <w:rsid w:val="00F81B7E"/>
    <w:rsid w:val="00F83757"/>
    <w:rsid w:val="00F8399A"/>
    <w:rsid w:val="00F8578B"/>
    <w:rsid w:val="00F863E4"/>
    <w:rsid w:val="00F8736C"/>
    <w:rsid w:val="00F87CA2"/>
    <w:rsid w:val="00F93E2D"/>
    <w:rsid w:val="00F95529"/>
    <w:rsid w:val="00F96AB9"/>
    <w:rsid w:val="00F97C97"/>
    <w:rsid w:val="00FA0A12"/>
    <w:rsid w:val="00FA0B30"/>
    <w:rsid w:val="00FA1ED7"/>
    <w:rsid w:val="00FA4CD9"/>
    <w:rsid w:val="00FA4E18"/>
    <w:rsid w:val="00FB3A52"/>
    <w:rsid w:val="00FB3B19"/>
    <w:rsid w:val="00FB4AA5"/>
    <w:rsid w:val="00FB77FC"/>
    <w:rsid w:val="00FC009E"/>
    <w:rsid w:val="00FC0CC8"/>
    <w:rsid w:val="00FC1C90"/>
    <w:rsid w:val="00FC1CE0"/>
    <w:rsid w:val="00FC21A5"/>
    <w:rsid w:val="00FC6050"/>
    <w:rsid w:val="00FD1B99"/>
    <w:rsid w:val="00FD1C74"/>
    <w:rsid w:val="00FD4DC4"/>
    <w:rsid w:val="00FD5092"/>
    <w:rsid w:val="00FD54F9"/>
    <w:rsid w:val="00FD5562"/>
    <w:rsid w:val="00FD5AC1"/>
    <w:rsid w:val="00FE2762"/>
    <w:rsid w:val="00FF0A58"/>
    <w:rsid w:val="00FF1682"/>
    <w:rsid w:val="00FF1815"/>
    <w:rsid w:val="00FF49E5"/>
    <w:rsid w:val="00FF5F57"/>
    <w:rsid w:val="00FF63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F653"/>
  <w15:docId w15:val="{80991EFC-C2DF-4845-99DF-0B977911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449"/>
  </w:style>
  <w:style w:type="paragraph" w:styleId="Ttulo1">
    <w:name w:val="heading 1"/>
    <w:basedOn w:val="Normal"/>
    <w:next w:val="Normal"/>
    <w:link w:val="Ttulo1Car"/>
    <w:qFormat/>
    <w:rsid w:val="00ED7389"/>
    <w:pPr>
      <w:keepNext/>
      <w:suppressAutoHyphens/>
      <w:spacing w:after="0" w:line="360" w:lineRule="auto"/>
      <w:contextualSpacing/>
      <w:jc w:val="both"/>
      <w:outlineLvl w:val="0"/>
    </w:pPr>
    <w:rPr>
      <w:rFonts w:ascii="Times New Roman" w:eastAsiaTheme="minorEastAsia" w:hAnsi="Times New Roman" w:cs="Times New Roman"/>
      <w:b/>
      <w:sz w:val="24"/>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D7389"/>
    <w:rPr>
      <w:rFonts w:ascii="Times New Roman" w:eastAsiaTheme="minorEastAsia" w:hAnsi="Times New Roman" w:cs="Times New Roman"/>
      <w:b/>
      <w:sz w:val="24"/>
      <w:szCs w:val="20"/>
      <w:lang w:val="en-US"/>
    </w:rPr>
  </w:style>
  <w:style w:type="paragraph" w:styleId="Prrafodelista">
    <w:name w:val="List Paragraph"/>
    <w:basedOn w:val="Normal"/>
    <w:uiPriority w:val="34"/>
    <w:qFormat/>
    <w:rsid w:val="000C09E1"/>
    <w:pPr>
      <w:ind w:left="720"/>
      <w:contextualSpacing/>
    </w:pPr>
  </w:style>
  <w:style w:type="paragraph" w:styleId="Textonotapie">
    <w:name w:val="footnote text"/>
    <w:basedOn w:val="Normal"/>
    <w:link w:val="TextonotapieCar"/>
    <w:uiPriority w:val="99"/>
    <w:semiHidden/>
    <w:unhideWhenUsed/>
    <w:rsid w:val="009101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010D"/>
    <w:rPr>
      <w:sz w:val="20"/>
      <w:szCs w:val="20"/>
    </w:rPr>
  </w:style>
  <w:style w:type="character" w:styleId="Refdenotaalpie">
    <w:name w:val="footnote reference"/>
    <w:basedOn w:val="Fuentedeprrafopredeter"/>
    <w:uiPriority w:val="99"/>
    <w:semiHidden/>
    <w:unhideWhenUsed/>
    <w:rsid w:val="0091010D"/>
    <w:rPr>
      <w:vertAlign w:val="superscript"/>
    </w:rPr>
  </w:style>
  <w:style w:type="paragraph" w:styleId="Bibliografa">
    <w:name w:val="Bibliography"/>
    <w:basedOn w:val="Normal"/>
    <w:next w:val="Normal"/>
    <w:uiPriority w:val="37"/>
    <w:unhideWhenUsed/>
    <w:rsid w:val="007C3FC3"/>
    <w:pPr>
      <w:spacing w:after="0" w:line="240" w:lineRule="auto"/>
      <w:ind w:left="720" w:hanging="720"/>
    </w:pPr>
  </w:style>
  <w:style w:type="paragraph" w:styleId="Piedepgina">
    <w:name w:val="footer"/>
    <w:basedOn w:val="Normal"/>
    <w:link w:val="PiedepginaCar"/>
    <w:uiPriority w:val="99"/>
    <w:unhideWhenUsed/>
    <w:rsid w:val="007C3F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3FC3"/>
  </w:style>
  <w:style w:type="paragraph" w:styleId="Textodeglobo">
    <w:name w:val="Balloon Text"/>
    <w:basedOn w:val="Normal"/>
    <w:link w:val="TextodegloboCar"/>
    <w:uiPriority w:val="99"/>
    <w:semiHidden/>
    <w:unhideWhenUsed/>
    <w:rsid w:val="007E75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512"/>
    <w:rPr>
      <w:rFonts w:ascii="Tahoma" w:hAnsi="Tahoma" w:cs="Tahoma"/>
      <w:sz w:val="16"/>
      <w:szCs w:val="16"/>
    </w:rPr>
  </w:style>
  <w:style w:type="character" w:styleId="Refdecomentario">
    <w:name w:val="annotation reference"/>
    <w:basedOn w:val="Fuentedeprrafopredeter"/>
    <w:uiPriority w:val="99"/>
    <w:semiHidden/>
    <w:unhideWhenUsed/>
    <w:rsid w:val="00D4384E"/>
    <w:rPr>
      <w:sz w:val="16"/>
      <w:szCs w:val="16"/>
    </w:rPr>
  </w:style>
  <w:style w:type="paragraph" w:styleId="Textocomentario">
    <w:name w:val="annotation text"/>
    <w:basedOn w:val="Normal"/>
    <w:link w:val="TextocomentarioCar"/>
    <w:uiPriority w:val="99"/>
    <w:semiHidden/>
    <w:unhideWhenUsed/>
    <w:rsid w:val="00D438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384E"/>
    <w:rPr>
      <w:sz w:val="20"/>
      <w:szCs w:val="20"/>
    </w:rPr>
  </w:style>
  <w:style w:type="paragraph" w:styleId="Asuntodelcomentario">
    <w:name w:val="annotation subject"/>
    <w:basedOn w:val="Textocomentario"/>
    <w:next w:val="Textocomentario"/>
    <w:link w:val="AsuntodelcomentarioCar"/>
    <w:uiPriority w:val="99"/>
    <w:semiHidden/>
    <w:unhideWhenUsed/>
    <w:rsid w:val="00D4384E"/>
    <w:rPr>
      <w:b/>
      <w:bCs/>
    </w:rPr>
  </w:style>
  <w:style w:type="character" w:customStyle="1" w:styleId="AsuntodelcomentarioCar">
    <w:name w:val="Asunto del comentario Car"/>
    <w:basedOn w:val="TextocomentarioCar"/>
    <w:link w:val="Asuntodelcomentario"/>
    <w:uiPriority w:val="99"/>
    <w:semiHidden/>
    <w:rsid w:val="00D4384E"/>
    <w:rPr>
      <w:b/>
      <w:bCs/>
      <w:sz w:val="20"/>
      <w:szCs w:val="20"/>
    </w:rPr>
  </w:style>
  <w:style w:type="paragraph" w:styleId="Revisin">
    <w:name w:val="Revision"/>
    <w:hidden/>
    <w:uiPriority w:val="99"/>
    <w:semiHidden/>
    <w:rsid w:val="00D4384E"/>
    <w:pPr>
      <w:spacing w:after="0" w:line="240" w:lineRule="auto"/>
    </w:pPr>
  </w:style>
  <w:style w:type="character" w:styleId="Hipervnculo">
    <w:name w:val="Hyperlink"/>
    <w:basedOn w:val="Fuentedeprrafopredeter"/>
    <w:uiPriority w:val="99"/>
    <w:unhideWhenUsed/>
    <w:rsid w:val="00E90378"/>
    <w:rPr>
      <w:color w:val="0563C1" w:themeColor="hyperlink"/>
      <w:u w:val="single"/>
    </w:rPr>
  </w:style>
  <w:style w:type="table" w:styleId="Tablaconcuadrcula">
    <w:name w:val="Table Grid"/>
    <w:basedOn w:val="Tablanormal"/>
    <w:uiPriority w:val="39"/>
    <w:rsid w:val="00FB4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81C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1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9D64A-744B-46DD-A500-177A1F09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45</Pages>
  <Words>13605</Words>
  <Characters>74830</Characters>
  <Application>Microsoft Office Word</Application>
  <DocSecurity>0</DocSecurity>
  <Lines>623</Lines>
  <Paragraphs>176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Carlos III de Madrid</Company>
  <LinksUpToDate>false</LinksUpToDate>
  <CharactersWithSpaces>88259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mmontes</dc:creator>
  <cp:keywords/>
  <dc:description/>
  <cp:lastModifiedBy>mmontes</cp:lastModifiedBy>
  <cp:revision>15</cp:revision>
  <cp:lastPrinted>2021-07-30T07:45:00Z</cp:lastPrinted>
  <dcterms:created xsi:type="dcterms:W3CDTF">2022-06-15T09:03:00Z</dcterms:created>
  <dcterms:modified xsi:type="dcterms:W3CDTF">2022-06-15T10:51:00Z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id="o89lnGuQ"/&gt;&lt;style id="http://www.zotero.org/styles/journal-of-cleaner-production" hasBibliography="1" bibliographyStyleHasBeenSet="1"/&gt;&lt;prefs&gt;&lt;pref name="fieldType" value="Field"/&gt;&lt;/prefs&gt;&lt;/dat</vt:lpwstr>
  </property>
  <property fmtid="{D5CDD505-2E9C-101B-9397-08002B2CF9AE}" pid="3" name="ZOTERO_PREF_2">
    <vt:lpwstr>a&gt;</vt:lpwstr>
  </property>
</Properties>
</file>