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6D33AF" w14:textId="448E7A11" w:rsidR="007B495A" w:rsidRDefault="00443F4F">
      <w:pPr>
        <w:pStyle w:val="Title"/>
      </w:pPr>
      <w:sdt>
        <w:sdtPr>
          <w:alias w:val="Title"/>
          <w:tag w:val=""/>
          <w:id w:val="726351117"/>
          <w:placeholder>
            <w:docPart w:val="7979F8E268CE154AAA2E644001617BED"/>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rsidR="00337858">
            <w:t xml:space="preserve">Further details of </w:t>
          </w:r>
          <w:r w:rsidR="0068224E">
            <w:t>EFCAMDAT</w:t>
          </w:r>
        </w:sdtContent>
      </w:sdt>
    </w:p>
    <w:p w14:paraId="17882F7A" w14:textId="77777777" w:rsidR="0016069B" w:rsidRDefault="0016069B">
      <w:pPr>
        <w:pStyle w:val="Title2"/>
      </w:pPr>
    </w:p>
    <w:p w14:paraId="4E649A30" w14:textId="4110CCB2" w:rsidR="007B495A" w:rsidRDefault="007E426D">
      <w:pPr>
        <w:pStyle w:val="Title2"/>
      </w:pPr>
      <w:bookmarkStart w:id="0" w:name="_GoBack"/>
      <w:bookmarkEnd w:id="0"/>
      <w:r w:rsidRPr="007E426D">
        <w:t>Theodora Alexopoulou</w:t>
      </w:r>
    </w:p>
    <w:p w14:paraId="047C0692" w14:textId="5CB39CE5" w:rsidR="007B495A" w:rsidRDefault="007E426D">
      <w:pPr>
        <w:pStyle w:val="Title2"/>
      </w:pPr>
      <w:r>
        <w:t>University of Cambridge</w:t>
      </w:r>
    </w:p>
    <w:p w14:paraId="74D2C36A" w14:textId="77777777" w:rsidR="007E426D" w:rsidRDefault="007E426D" w:rsidP="007E426D">
      <w:pPr>
        <w:pStyle w:val="Title2"/>
      </w:pPr>
    </w:p>
    <w:p w14:paraId="2F1FB7A5" w14:textId="059330B8" w:rsidR="007E426D" w:rsidRDefault="007E426D" w:rsidP="007E426D">
      <w:pPr>
        <w:pStyle w:val="Title2"/>
      </w:pPr>
      <w:r>
        <w:t>Marije Michel</w:t>
      </w:r>
    </w:p>
    <w:p w14:paraId="255B001A" w14:textId="4BCF141A" w:rsidR="007E426D" w:rsidRDefault="007E426D" w:rsidP="007E426D">
      <w:pPr>
        <w:pStyle w:val="Title2"/>
      </w:pPr>
      <w:r>
        <w:t>Lancaster University</w:t>
      </w:r>
    </w:p>
    <w:p w14:paraId="549FB66A" w14:textId="77777777" w:rsidR="007E426D" w:rsidRDefault="007E426D" w:rsidP="007E426D">
      <w:pPr>
        <w:pStyle w:val="Title2"/>
      </w:pPr>
    </w:p>
    <w:p w14:paraId="3D489560" w14:textId="23DB0BA8" w:rsidR="007E426D" w:rsidRDefault="007E426D" w:rsidP="007E426D">
      <w:pPr>
        <w:pStyle w:val="Title2"/>
      </w:pPr>
      <w:r>
        <w:t>Akira Murakami</w:t>
      </w:r>
    </w:p>
    <w:p w14:paraId="2497668F" w14:textId="77777777" w:rsidR="007E426D" w:rsidRDefault="007E426D" w:rsidP="007E426D">
      <w:pPr>
        <w:pStyle w:val="Title2"/>
      </w:pPr>
      <w:r>
        <w:t>University of Cambridge</w:t>
      </w:r>
    </w:p>
    <w:p w14:paraId="0E25D28F" w14:textId="77777777" w:rsidR="007E426D" w:rsidRDefault="007E426D" w:rsidP="007E426D">
      <w:pPr>
        <w:pStyle w:val="Title2"/>
      </w:pPr>
    </w:p>
    <w:p w14:paraId="42AED66F" w14:textId="77777777" w:rsidR="007E426D" w:rsidRDefault="007E426D" w:rsidP="007E426D">
      <w:pPr>
        <w:pStyle w:val="Title2"/>
      </w:pPr>
      <w:r>
        <w:t>Detmar Meurers</w:t>
      </w:r>
    </w:p>
    <w:p w14:paraId="408E516F" w14:textId="79C77B51" w:rsidR="007E426D" w:rsidRDefault="007E426D" w:rsidP="007E426D">
      <w:pPr>
        <w:pStyle w:val="Title2"/>
      </w:pPr>
      <w:r>
        <w:t xml:space="preserve">University of </w:t>
      </w:r>
      <w:r w:rsidRPr="007E426D">
        <w:t>Tübingen</w:t>
      </w:r>
    </w:p>
    <w:p w14:paraId="47A30996" w14:textId="4E41B56F" w:rsidR="007B495A" w:rsidRDefault="00443F4F" w:rsidP="00850FCE">
      <w:pPr>
        <w:pStyle w:val="SectionTitle"/>
      </w:pPr>
      <w:sdt>
        <w:sdtPr>
          <w:alias w:val="Title"/>
          <w:tag w:val=""/>
          <w:id w:val="984196707"/>
          <w:placeholder>
            <w:docPart w:val="7979F8E268CE154AAA2E644001617BED"/>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Content>
          <w:r w:rsidR="0068224E">
            <w:t>Further details of EFCAMDAT</w:t>
          </w:r>
        </w:sdtContent>
      </w:sdt>
    </w:p>
    <w:p w14:paraId="2FAF7951" w14:textId="19C216AA" w:rsidR="00337858" w:rsidRPr="00337858" w:rsidRDefault="0068224E" w:rsidP="00850FCE">
      <w:pPr>
        <w:ind w:firstLine="0"/>
        <w:jc w:val="center"/>
        <w:rPr>
          <w:rFonts w:asciiTheme="majorHAnsi" w:eastAsiaTheme="majorEastAsia" w:hAnsiTheme="majorHAnsi" w:cstheme="majorBidi"/>
          <w:b/>
          <w:bCs/>
        </w:rPr>
      </w:pPr>
      <w:r>
        <w:rPr>
          <w:rFonts w:asciiTheme="majorHAnsi" w:eastAsiaTheme="majorEastAsia" w:hAnsiTheme="majorHAnsi" w:cstheme="majorBidi"/>
          <w:b/>
          <w:bCs/>
        </w:rPr>
        <w:t>Englishtown Curriculum</w:t>
      </w:r>
    </w:p>
    <w:p w14:paraId="5B76A6C9" w14:textId="77777777" w:rsidR="0068224E" w:rsidRPr="0068224E" w:rsidRDefault="0068224E" w:rsidP="0068224E">
      <w:pPr>
        <w:rPr>
          <w:rFonts w:asciiTheme="majorHAnsi" w:eastAsiaTheme="majorEastAsia" w:hAnsiTheme="majorHAnsi" w:cstheme="majorBidi"/>
          <w:bCs/>
        </w:rPr>
      </w:pPr>
      <w:r w:rsidRPr="0068224E">
        <w:rPr>
          <w:rFonts w:asciiTheme="majorHAnsi" w:eastAsiaTheme="majorEastAsia" w:hAnsiTheme="majorHAnsi" w:cstheme="majorBidi"/>
          <w:bCs/>
        </w:rPr>
        <w:t>Englishtown is the online school of EF Education First. The Englishtown curriculum is organised across 16 proficiency levels, each of which includes eight units. Each unit covers a range of activities involving both receptive (listening and reading) and productive (speaking and writing) practice, as well as some explicit instruction on grammatical features (e.g., inflections, prepositions). Each unit includes a free writing task in which learners are asked to write on a certain topic.</w:t>
      </w:r>
    </w:p>
    <w:p w14:paraId="71E94E20" w14:textId="4B44452F" w:rsidR="0068224E" w:rsidRPr="0068224E" w:rsidRDefault="0068224E" w:rsidP="0068224E">
      <w:pPr>
        <w:rPr>
          <w:rFonts w:asciiTheme="majorHAnsi" w:eastAsiaTheme="majorEastAsia" w:hAnsiTheme="majorHAnsi" w:cstheme="majorBidi"/>
          <w:bCs/>
        </w:rPr>
      </w:pPr>
      <w:r w:rsidRPr="0068224E">
        <w:rPr>
          <w:rFonts w:asciiTheme="majorHAnsi" w:eastAsiaTheme="majorEastAsia" w:hAnsiTheme="majorHAnsi" w:cstheme="majorBidi"/>
          <w:bCs/>
        </w:rPr>
        <w:t>Englishtown levels are aligned with common proficiency standards as shown in Table 1 (adapted from Geertzen</w:t>
      </w:r>
      <w:r w:rsidR="001F6E79">
        <w:rPr>
          <w:rFonts w:asciiTheme="majorHAnsi" w:eastAsiaTheme="majorEastAsia" w:hAnsiTheme="majorHAnsi" w:cstheme="majorBidi"/>
          <w:bCs/>
        </w:rPr>
        <w:t xml:space="preserve">, Alexopoulou, &amp; </w:t>
      </w:r>
      <w:r w:rsidR="001F6E79" w:rsidRPr="001F6E79">
        <w:rPr>
          <w:rFonts w:asciiTheme="majorHAnsi" w:eastAsiaTheme="majorEastAsia" w:hAnsiTheme="majorHAnsi" w:cstheme="majorBidi"/>
          <w:bCs/>
        </w:rPr>
        <w:t>Korhonen,</w:t>
      </w:r>
      <w:r w:rsidRPr="0068224E">
        <w:rPr>
          <w:rFonts w:asciiTheme="majorHAnsi" w:eastAsiaTheme="majorEastAsia" w:hAnsiTheme="majorHAnsi" w:cstheme="majorBidi"/>
          <w:bCs/>
        </w:rPr>
        <w:t xml:space="preserve"> 2014).</w:t>
      </w:r>
    </w:p>
    <w:p w14:paraId="1E670B0D" w14:textId="77777777" w:rsidR="0068224E" w:rsidRPr="0068224E" w:rsidRDefault="0068224E" w:rsidP="0068224E">
      <w:pPr>
        <w:rPr>
          <w:rFonts w:asciiTheme="majorHAnsi" w:eastAsiaTheme="majorEastAsia" w:hAnsiTheme="majorHAnsi" w:cstheme="majorBidi"/>
          <w:bCs/>
        </w:rPr>
      </w:pPr>
      <w:r w:rsidRPr="0068224E">
        <w:rPr>
          <w:rFonts w:asciiTheme="majorHAnsi" w:eastAsiaTheme="majorEastAsia" w:hAnsiTheme="majorHAnsi" w:cstheme="majorBidi"/>
          <w:bCs/>
        </w:rPr>
        <w:t>EF teaching materials are designed to use tasks that align with the can-do statements for the relevant CEFR level, as well as vocabulary and grammatical structures that are appropriate for the level. These alignments are based on the Council of Europe’s CEFR documentation, criterial feature research, and the content developers’ experience.</w:t>
      </w:r>
    </w:p>
    <w:p w14:paraId="51573019" w14:textId="7B842DDC" w:rsidR="0068224E" w:rsidRDefault="0068224E" w:rsidP="0068224E">
      <w:pPr>
        <w:rPr>
          <w:rFonts w:asciiTheme="majorHAnsi" w:eastAsiaTheme="majorEastAsia" w:hAnsiTheme="majorHAnsi" w:cstheme="majorBidi"/>
          <w:bCs/>
        </w:rPr>
      </w:pPr>
      <w:r w:rsidRPr="0068224E">
        <w:rPr>
          <w:rFonts w:asciiTheme="majorHAnsi" w:eastAsiaTheme="majorEastAsia" w:hAnsiTheme="majorHAnsi" w:cstheme="majorBidi"/>
          <w:bCs/>
        </w:rPr>
        <w:t>Each writing task has expected length, ranging from 20-40 words in Level 1 Unit 1 to 150-180 words in Level 16 Unit 8. Unless learners repeat the same Unit, a learne</w:t>
      </w:r>
      <w:r>
        <w:rPr>
          <w:rFonts w:asciiTheme="majorHAnsi" w:eastAsiaTheme="majorEastAsia" w:hAnsiTheme="majorHAnsi" w:cstheme="majorBidi"/>
          <w:bCs/>
        </w:rPr>
        <w:t xml:space="preserve">r who completes the full course </w:t>
      </w:r>
      <w:r w:rsidRPr="0068224E">
        <w:rPr>
          <w:rFonts w:asciiTheme="majorHAnsi" w:eastAsiaTheme="majorEastAsia" w:hAnsiTheme="majorHAnsi" w:cstheme="majorBidi"/>
          <w:bCs/>
        </w:rPr>
        <w:t>submits 128 (16 Levels × 8 Units) writings in total. A variety of topics are covered in the course, including self introduction, making requests, offering an apology, and writing a story, among others. For more concrete examples of writing tasks and related instruction, readers are referred to the other online supporting document.</w:t>
      </w:r>
    </w:p>
    <w:p w14:paraId="32C40DE8" w14:textId="72020940" w:rsidR="00850FCE" w:rsidRPr="00850FCE" w:rsidRDefault="00850FCE" w:rsidP="00850FCE">
      <w:pPr>
        <w:jc w:val="center"/>
        <w:rPr>
          <w:rFonts w:asciiTheme="majorHAnsi" w:eastAsiaTheme="majorEastAsia" w:hAnsiTheme="majorHAnsi" w:cstheme="majorBidi"/>
          <w:b/>
          <w:bCs/>
        </w:rPr>
      </w:pPr>
      <w:r>
        <w:rPr>
          <w:rFonts w:asciiTheme="majorHAnsi" w:eastAsiaTheme="majorEastAsia" w:hAnsiTheme="majorHAnsi" w:cstheme="majorBidi"/>
          <w:b/>
          <w:bCs/>
        </w:rPr>
        <w:t>Learners in EFCAMDAT</w:t>
      </w:r>
    </w:p>
    <w:p w14:paraId="40C1F1DE" w14:textId="58C570DF" w:rsidR="00850FCE" w:rsidRPr="00850FCE" w:rsidRDefault="00850FCE" w:rsidP="00850FCE">
      <w:pPr>
        <w:rPr>
          <w:rFonts w:asciiTheme="majorHAnsi" w:eastAsiaTheme="majorEastAsia" w:hAnsiTheme="majorHAnsi" w:cstheme="majorBidi"/>
          <w:bCs/>
        </w:rPr>
      </w:pPr>
      <w:r w:rsidRPr="00850FCE">
        <w:rPr>
          <w:rFonts w:asciiTheme="majorHAnsi" w:eastAsiaTheme="majorEastAsia" w:hAnsiTheme="majorHAnsi" w:cstheme="majorBidi"/>
          <w:bCs/>
        </w:rPr>
        <w:t xml:space="preserve">The primary information about individual learners that is available in EFCAMDAT is learners’ nationality and proficiency. Learners take placement test to establish the appropriate </w:t>
      </w:r>
      <w:r w:rsidRPr="00850FCE">
        <w:rPr>
          <w:rFonts w:asciiTheme="majorHAnsi" w:eastAsiaTheme="majorEastAsia" w:hAnsiTheme="majorHAnsi" w:cstheme="majorBidi"/>
          <w:bCs/>
        </w:rPr>
        <w:lastRenderedPageBreak/>
        <w:t>level for the learner to start the course. Nationality crossed with country of residence is used to define learner ’national language’ (NL) (Geertzen et al., 2014), the closest estimation of L1 (</w:t>
      </w:r>
      <w:r w:rsidR="00A00EAF">
        <w:rPr>
          <w:rFonts w:asciiTheme="majorHAnsi" w:eastAsiaTheme="majorEastAsia" w:hAnsiTheme="majorHAnsi" w:cstheme="majorBidi"/>
          <w:bCs/>
        </w:rPr>
        <w:t>Murakami</w:t>
      </w:r>
      <w:r w:rsidRPr="00850FCE">
        <w:rPr>
          <w:rFonts w:asciiTheme="majorHAnsi" w:eastAsiaTheme="majorEastAsia" w:hAnsiTheme="majorHAnsi" w:cstheme="majorBidi"/>
          <w:bCs/>
        </w:rPr>
        <w:t>, 201</w:t>
      </w:r>
      <w:r w:rsidR="00A00EAF">
        <w:rPr>
          <w:rFonts w:asciiTheme="majorHAnsi" w:eastAsiaTheme="majorEastAsia" w:hAnsiTheme="majorHAnsi" w:cstheme="majorBidi"/>
          <w:bCs/>
        </w:rPr>
        <w:t>6</w:t>
      </w:r>
      <w:r w:rsidRPr="00850FCE">
        <w:rPr>
          <w:rFonts w:asciiTheme="majorHAnsi" w:eastAsiaTheme="majorEastAsia" w:hAnsiTheme="majorHAnsi" w:cstheme="majorBidi"/>
          <w:bCs/>
        </w:rPr>
        <w:t>). In the pre-release second version of the data we used, Brazilian learners occupy 40% of the data in terms</w:t>
      </w:r>
      <w:r>
        <w:rPr>
          <w:rFonts w:asciiTheme="majorHAnsi" w:eastAsiaTheme="majorEastAsia" w:hAnsiTheme="majorHAnsi" w:cstheme="majorBidi"/>
          <w:bCs/>
        </w:rPr>
        <w:t xml:space="preserve"> of the number of writings, fol</w:t>
      </w:r>
      <w:r w:rsidRPr="00850FCE">
        <w:rPr>
          <w:rFonts w:asciiTheme="majorHAnsi" w:eastAsiaTheme="majorEastAsia" w:hAnsiTheme="majorHAnsi" w:cstheme="majorBidi"/>
          <w:bCs/>
        </w:rPr>
        <w:t>lowed by Chinese learners (14%), Mexican learners (7%), Russian learners (6%), and German learners (5%).</w:t>
      </w:r>
    </w:p>
    <w:p w14:paraId="6B68AE8F" w14:textId="77777777" w:rsidR="00850FCE" w:rsidRDefault="00850FCE" w:rsidP="00850FCE">
      <w:pPr>
        <w:rPr>
          <w:rFonts w:asciiTheme="majorHAnsi" w:eastAsiaTheme="majorEastAsia" w:hAnsiTheme="majorHAnsi" w:cstheme="majorBidi"/>
          <w:bCs/>
        </w:rPr>
      </w:pPr>
      <w:r w:rsidRPr="00850FCE">
        <w:rPr>
          <w:rFonts w:asciiTheme="majorHAnsi" w:eastAsiaTheme="majorEastAsia" w:hAnsiTheme="majorHAnsi" w:cstheme="majorBidi"/>
          <w:bCs/>
        </w:rPr>
        <w:t>In terms of distribution of data across proficiency, there are larger numbers of writings at lower levels, with Levels 1-3 occupying 53% of the data.</w:t>
      </w:r>
    </w:p>
    <w:p w14:paraId="01D5A8CF" w14:textId="43997471" w:rsidR="00850FCE" w:rsidRPr="00850FCE" w:rsidRDefault="00850FCE" w:rsidP="00850FCE">
      <w:pPr>
        <w:jc w:val="center"/>
        <w:rPr>
          <w:rFonts w:asciiTheme="majorHAnsi" w:eastAsiaTheme="majorEastAsia" w:hAnsiTheme="majorHAnsi" w:cstheme="majorBidi"/>
          <w:b/>
          <w:bCs/>
        </w:rPr>
      </w:pPr>
      <w:r>
        <w:rPr>
          <w:rFonts w:asciiTheme="majorHAnsi" w:eastAsiaTheme="majorEastAsia" w:hAnsiTheme="majorHAnsi" w:cstheme="majorBidi"/>
          <w:b/>
          <w:bCs/>
        </w:rPr>
        <w:t>Features of</w:t>
      </w:r>
      <w:r>
        <w:rPr>
          <w:rFonts w:asciiTheme="majorHAnsi" w:eastAsiaTheme="majorEastAsia" w:hAnsiTheme="majorHAnsi" w:cstheme="majorBidi"/>
          <w:b/>
          <w:bCs/>
        </w:rPr>
        <w:t xml:space="preserve"> EFCAMDAT</w:t>
      </w:r>
    </w:p>
    <w:p w14:paraId="1BA67312" w14:textId="33B7E24D" w:rsidR="00850FCE" w:rsidRPr="00850FCE" w:rsidRDefault="00850FCE" w:rsidP="005C701A">
      <w:pPr>
        <w:rPr>
          <w:rFonts w:asciiTheme="majorHAnsi" w:eastAsiaTheme="majorEastAsia" w:hAnsiTheme="majorHAnsi" w:cstheme="majorBidi"/>
          <w:bCs/>
        </w:rPr>
      </w:pPr>
      <w:r w:rsidRPr="00850FCE">
        <w:rPr>
          <w:rFonts w:asciiTheme="majorHAnsi" w:eastAsiaTheme="majorEastAsia" w:hAnsiTheme="majorHAnsi" w:cstheme="majorBidi"/>
          <w:bCs/>
        </w:rPr>
        <w:t>EFCAMDAT is a partially error-tagged large-scale longitudinal learner corpus covering a wide range of nationalities and proficiency levels. The characteristics of the corpus are shared with a number of other learner corpora. International Corpus of Learner English (Granger</w:t>
      </w:r>
      <w:r w:rsidR="00A00EAF">
        <w:rPr>
          <w:rFonts w:asciiTheme="majorHAnsi" w:eastAsiaTheme="majorEastAsia" w:hAnsiTheme="majorHAnsi" w:cstheme="majorBidi"/>
          <w:bCs/>
        </w:rPr>
        <w:t xml:space="preserve">, Dagneaux, </w:t>
      </w:r>
      <w:r w:rsidR="00A00EAF" w:rsidRPr="00A00EAF">
        <w:rPr>
          <w:rFonts w:asciiTheme="majorHAnsi" w:eastAsiaTheme="majorEastAsia" w:hAnsiTheme="majorHAnsi" w:cstheme="majorBidi"/>
          <w:bCs/>
        </w:rPr>
        <w:t>Meunier,</w:t>
      </w:r>
      <w:r w:rsidR="00A00EAF">
        <w:rPr>
          <w:rFonts w:asciiTheme="majorHAnsi" w:eastAsiaTheme="majorEastAsia" w:hAnsiTheme="majorHAnsi" w:cstheme="majorBidi"/>
          <w:bCs/>
        </w:rPr>
        <w:t xml:space="preserve"> &amp; Paquot</w:t>
      </w:r>
      <w:r w:rsidRPr="00850FCE">
        <w:rPr>
          <w:rFonts w:asciiTheme="majorHAnsi" w:eastAsiaTheme="majorEastAsia" w:hAnsiTheme="majorHAnsi" w:cstheme="majorBidi"/>
          <w:bCs/>
        </w:rPr>
        <w:t>, 2009) and International Corpus of Crosslingui</w:t>
      </w:r>
      <w:r w:rsidR="001F6E79">
        <w:rPr>
          <w:rFonts w:asciiTheme="majorHAnsi" w:eastAsiaTheme="majorEastAsia" w:hAnsiTheme="majorHAnsi" w:cstheme="majorBidi"/>
          <w:bCs/>
        </w:rPr>
        <w:t>stic Interlanguage (Tono &amp; Díez-</w:t>
      </w:r>
      <w:r w:rsidR="001F6E79" w:rsidRPr="001F6E79">
        <w:rPr>
          <w:rFonts w:asciiTheme="majorHAnsi" w:eastAsiaTheme="majorEastAsia" w:hAnsiTheme="majorHAnsi" w:cstheme="majorBidi"/>
          <w:bCs/>
        </w:rPr>
        <w:t>Bedmar</w:t>
      </w:r>
      <w:r w:rsidRPr="00850FCE">
        <w:rPr>
          <w:rFonts w:asciiTheme="majorHAnsi" w:eastAsiaTheme="majorEastAsia" w:hAnsiTheme="majorHAnsi" w:cstheme="majorBidi"/>
          <w:bCs/>
        </w:rPr>
        <w:t>, 2014), for instance, also cover a range of L1</w:t>
      </w:r>
      <w:r w:rsidR="005C701A">
        <w:rPr>
          <w:rFonts w:asciiTheme="majorHAnsi" w:eastAsiaTheme="majorEastAsia" w:hAnsiTheme="majorHAnsi" w:cstheme="majorBidi"/>
          <w:bCs/>
        </w:rPr>
        <w:t xml:space="preserve"> </w:t>
      </w:r>
      <w:r w:rsidRPr="00850FCE">
        <w:rPr>
          <w:rFonts w:asciiTheme="majorHAnsi" w:eastAsiaTheme="majorEastAsia" w:hAnsiTheme="majorHAnsi" w:cstheme="majorBidi"/>
          <w:bCs/>
        </w:rPr>
        <w:t>groups, while learner corpora such as the Cambridge Learner Corpus (CLC; Nicholls, 2003) include a range of proficiency levels. Errors have been manually annotated in the CLC, as well as in the NICT-JLE corpus</w:t>
      </w:r>
      <w:r w:rsidRPr="001F6E79">
        <w:rPr>
          <w:rFonts w:asciiTheme="majorHAnsi" w:eastAsiaTheme="majorEastAsia" w:hAnsiTheme="majorHAnsi" w:cstheme="majorBidi"/>
          <w:bCs/>
          <w:vertAlign w:val="superscript"/>
        </w:rPr>
        <w:t>1</w:t>
      </w:r>
      <w:r w:rsidRPr="00850FCE">
        <w:rPr>
          <w:rFonts w:asciiTheme="majorHAnsi" w:eastAsiaTheme="majorEastAsia" w:hAnsiTheme="majorHAnsi" w:cstheme="majorBidi"/>
          <w:bCs/>
        </w:rPr>
        <w:t>, for example. Longitudinal learner corpora are rare, but multiple longitudinal corpora, such as Longitudinal Database of Learner English (LONGDALE)</w:t>
      </w:r>
      <w:r w:rsidRPr="001F6E79">
        <w:rPr>
          <w:rFonts w:asciiTheme="majorHAnsi" w:eastAsiaTheme="majorEastAsia" w:hAnsiTheme="majorHAnsi" w:cstheme="majorBidi"/>
          <w:bCs/>
          <w:vertAlign w:val="superscript"/>
        </w:rPr>
        <w:t>2</w:t>
      </w:r>
      <w:r w:rsidRPr="00850FCE">
        <w:rPr>
          <w:rFonts w:asciiTheme="majorHAnsi" w:eastAsiaTheme="majorEastAsia" w:hAnsiTheme="majorHAnsi" w:cstheme="majorBidi"/>
          <w:bCs/>
        </w:rPr>
        <w:t>, are currently being developed. Yet another feature of EFCAMDAT is that the data have been collected in a relatively authentic language learning environment, a feature also shared with the Lang-8 corpus (Mizumoto</w:t>
      </w:r>
      <w:r w:rsidR="00A00EAF">
        <w:rPr>
          <w:rFonts w:asciiTheme="majorHAnsi" w:eastAsiaTheme="majorEastAsia" w:hAnsiTheme="majorHAnsi" w:cstheme="majorBidi"/>
          <w:bCs/>
        </w:rPr>
        <w:t>, Komachi, Nagata, &amp; Matsumoto</w:t>
      </w:r>
      <w:r w:rsidRPr="00850FCE">
        <w:rPr>
          <w:rFonts w:asciiTheme="majorHAnsi" w:eastAsiaTheme="majorEastAsia" w:hAnsiTheme="majorHAnsi" w:cstheme="majorBidi"/>
          <w:bCs/>
        </w:rPr>
        <w:t>, 2011).</w:t>
      </w:r>
    </w:p>
    <w:p w14:paraId="49DA3179" w14:textId="36F2B75A" w:rsidR="004F1426" w:rsidRDefault="00850FCE" w:rsidP="00850FCE">
      <w:pPr>
        <w:rPr>
          <w:rFonts w:asciiTheme="majorHAnsi" w:eastAsiaTheme="majorEastAsia" w:hAnsiTheme="majorHAnsi" w:cstheme="majorBidi"/>
          <w:bCs/>
        </w:rPr>
      </w:pPr>
      <w:r w:rsidRPr="00850FCE">
        <w:rPr>
          <w:rFonts w:asciiTheme="majorHAnsi" w:eastAsiaTheme="majorEastAsia" w:hAnsiTheme="majorHAnsi" w:cstheme="majorBidi"/>
          <w:bCs/>
        </w:rPr>
        <w:t xml:space="preserve">While EFCAMDAT may not stand out with respect to individual criteria, it is unique in the combination of features. If one is only interested in L1 influence, a learner corpus that includes multiple L1 groups of the same proficiency level may suffice. However, if one is </w:t>
      </w:r>
      <w:r w:rsidRPr="00850FCE">
        <w:rPr>
          <w:rFonts w:asciiTheme="majorHAnsi" w:eastAsiaTheme="majorEastAsia" w:hAnsiTheme="majorHAnsi" w:cstheme="majorBidi"/>
          <w:bCs/>
        </w:rPr>
        <w:lastRenderedPageBreak/>
        <w:t>interested in studying how L1 influence varies across proficiency levels (cf. Jarvis, 2000), s/he needs a learner corpus that covers both a range of L1 groups and a range of proficiency levels. Furthermore, if the researcher opts for the quantitative analysis of the data, the corpus needs to include a certain amount of data for each L1-proficiency pair. This makes corpus size an important factor when the corpus has multiple parameters (e.g., L1, proficiency). To be more specific to EFCAMDAT, to the best of our knowledge, there is no other learner corpus that is large-scale, error-tagged, and longitudinal at the same time. Such a combination is critical in studying various issues in SLA such as individual variation in longitudinal accuracy development (</w:t>
      </w:r>
      <w:r w:rsidR="0034775B">
        <w:rPr>
          <w:rFonts w:asciiTheme="majorHAnsi" w:eastAsiaTheme="majorEastAsia" w:hAnsiTheme="majorHAnsi" w:cstheme="majorBidi"/>
          <w:bCs/>
        </w:rPr>
        <w:t>Murakami, 2016; Murakami &amp; Alexopoulou, 2016</w:t>
      </w:r>
      <w:r w:rsidRPr="00850FCE">
        <w:rPr>
          <w:rFonts w:asciiTheme="majorHAnsi" w:eastAsiaTheme="majorEastAsia" w:hAnsiTheme="majorHAnsi" w:cstheme="majorBidi"/>
          <w:bCs/>
        </w:rPr>
        <w:t>).</w:t>
      </w:r>
    </w:p>
    <w:p w14:paraId="5ADC5B77" w14:textId="77777777" w:rsidR="004F1426" w:rsidRDefault="004F1426">
      <w:pPr>
        <w:rPr>
          <w:rFonts w:asciiTheme="majorHAnsi" w:eastAsiaTheme="majorEastAsia" w:hAnsiTheme="majorHAnsi" w:cstheme="majorBidi"/>
          <w:bCs/>
        </w:rPr>
      </w:pPr>
      <w:r>
        <w:rPr>
          <w:rFonts w:asciiTheme="majorHAnsi" w:eastAsiaTheme="majorEastAsia" w:hAnsiTheme="majorHAnsi" w:cstheme="majorBidi"/>
          <w:bCs/>
        </w:rPr>
        <w:br w:type="page"/>
      </w:r>
    </w:p>
    <w:sdt>
      <w:sdtPr>
        <w:rPr>
          <w:rFonts w:asciiTheme="minorHAnsi" w:eastAsiaTheme="minorEastAsia" w:hAnsiTheme="minorHAnsi" w:cstheme="minorBidi"/>
        </w:rPr>
        <w:id w:val="62297111"/>
        <w:docPartObj>
          <w:docPartGallery w:val="Bibliographies"/>
          <w:docPartUnique/>
        </w:docPartObj>
      </w:sdtPr>
      <w:sdtContent>
        <w:p w14:paraId="52ADBA9F" w14:textId="77777777" w:rsidR="004F1426" w:rsidRDefault="004F1426" w:rsidP="004F1426">
          <w:pPr>
            <w:pStyle w:val="SectionTitle"/>
          </w:pPr>
          <w:r>
            <w:t>References</w:t>
          </w:r>
        </w:p>
        <w:sdt>
          <w:sdtPr>
            <w:id w:val="-573587230"/>
            <w:bibliography/>
          </w:sdtPr>
          <w:sdtEndPr>
            <w:rPr>
              <w:rFonts w:asciiTheme="minorHAnsi" w:hAnsiTheme="minorHAnsi" w:cstheme="minorBidi"/>
            </w:rPr>
          </w:sdtEndPr>
          <w:sdtContent>
            <w:p w14:paraId="237E5490" w14:textId="77777777" w:rsidR="005161C5" w:rsidRPr="005161C5" w:rsidRDefault="005161C5" w:rsidP="005161C5">
              <w:pPr>
                <w:pStyle w:val="NormalWeb"/>
                <w:ind w:left="480" w:hanging="480"/>
                <w:rPr>
                  <w:kern w:val="0"/>
                </w:rPr>
              </w:pPr>
              <w:r w:rsidRPr="005161C5">
                <w:rPr>
                  <w:kern w:val="0"/>
                </w:rPr>
                <w:t xml:space="preserve">Geertzen, J., Alexopoulou, T., &amp; Korhonen, A. (2014). Automatic linguistic annotation of large scale L2 databases: The EF-Cambridge Open Language Database (EFCAMDAT). In R. T. Millar, K. I. Martin, C. M. Eddington, A. Henery, N. M. Miguel, A. Tseng, … D. Walter (Eds.), </w:t>
              </w:r>
              <w:r w:rsidRPr="005161C5">
                <w:rPr>
                  <w:i/>
                  <w:iCs/>
                  <w:kern w:val="0"/>
                </w:rPr>
                <w:t>Selected proceedings of the 2012 Second Language Research Forum. Building bridges between disciplines</w:t>
              </w:r>
              <w:r w:rsidRPr="005161C5">
                <w:rPr>
                  <w:kern w:val="0"/>
                </w:rPr>
                <w:t xml:space="preserve"> (pp. 240–254). Cascadilla Proceedings Project.</w:t>
              </w:r>
            </w:p>
            <w:p w14:paraId="7757EF09" w14:textId="77777777" w:rsidR="005161C5" w:rsidRDefault="005161C5" w:rsidP="005161C5">
              <w:pPr>
                <w:pStyle w:val="NormalWeb"/>
                <w:ind w:left="480" w:hanging="480"/>
                <w:rPr>
                  <w:kern w:val="0"/>
                </w:rPr>
              </w:pPr>
              <w:r>
                <w:t xml:space="preserve">Granger, S., Dagneaux, E., Meunier, F., &amp; Paquot, M. (2009). </w:t>
              </w:r>
              <w:r>
                <w:rPr>
                  <w:i/>
                  <w:iCs/>
                </w:rPr>
                <w:t>International Corpus of Learner English version 2</w:t>
              </w:r>
              <w:r>
                <w:t>. Louvain-la-Neuve: Presses universitaires de Louvain.</w:t>
              </w:r>
            </w:p>
            <w:p w14:paraId="65B98379" w14:textId="28994E3C" w:rsidR="005161C5" w:rsidRDefault="005161C5" w:rsidP="005161C5">
              <w:pPr>
                <w:pStyle w:val="NormalWeb"/>
                <w:ind w:left="480" w:hanging="480"/>
                <w:rPr>
                  <w:kern w:val="0"/>
                </w:rPr>
              </w:pPr>
              <w:r>
                <w:t xml:space="preserve">Jarvis, S. (2000). Methodological rigor in the study of transfer: Identifying L1 influence in the interlanguage lexicon. </w:t>
              </w:r>
              <w:r>
                <w:rPr>
                  <w:i/>
                  <w:iCs/>
                </w:rPr>
                <w:t>Language Learning</w:t>
              </w:r>
              <w:r>
                <w:t xml:space="preserve">, </w:t>
              </w:r>
              <w:r>
                <w:rPr>
                  <w:i/>
                  <w:iCs/>
                </w:rPr>
                <w:t>50</w:t>
              </w:r>
              <w:r>
                <w:t xml:space="preserve">(2), 245–309. </w:t>
              </w:r>
              <w:r w:rsidR="008219EB">
                <w:t>d</w:t>
              </w:r>
              <w:r>
                <w:t xml:space="preserve">oi: </w:t>
              </w:r>
              <w:r>
                <w:t>10.1111/0023-8333.00118</w:t>
              </w:r>
            </w:p>
            <w:p w14:paraId="6864DD9F" w14:textId="77777777" w:rsidR="00241C5B" w:rsidRDefault="004F1426" w:rsidP="00241C5B">
              <w:pPr>
                <w:pStyle w:val="NormalWeb"/>
                <w:ind w:left="480" w:hanging="480"/>
              </w:pPr>
              <w:r>
                <w:t xml:space="preserve">Mizumoto, T., Komachi, M., Nagata, M., </w:t>
              </w:r>
              <w:r w:rsidR="005161C5">
                <w:t>&amp;</w:t>
              </w:r>
              <w:r>
                <w:t xml:space="preserve"> Matsumoto, Y. (2011). Mining revision log of language learning SNS for automated Japanese error correction of second language learners. </w:t>
              </w:r>
              <w:r w:rsidRPr="005161C5">
                <w:rPr>
                  <w:i/>
                </w:rPr>
                <w:t>Proceedings of the 5th International Joint Conference on Natural Language Processing</w:t>
              </w:r>
              <w:r>
                <w:t xml:space="preserve">, 147–155. </w:t>
              </w:r>
            </w:p>
            <w:p w14:paraId="5CC3710C" w14:textId="77777777" w:rsidR="00525E97" w:rsidRDefault="00241C5B" w:rsidP="00525E97">
              <w:pPr>
                <w:pStyle w:val="NormalWeb"/>
                <w:ind w:left="480" w:hanging="480"/>
                <w:rPr>
                  <w:kern w:val="0"/>
                </w:rPr>
              </w:pPr>
              <w:r w:rsidRPr="00241C5B">
                <w:rPr>
                  <w:kern w:val="0"/>
                </w:rPr>
                <w:t xml:space="preserve">Murakami, A. (2016). Modeling systematicity and individuality in nonlinear second language development: The case of English grammatical morphemes. </w:t>
              </w:r>
              <w:r w:rsidRPr="00241C5B">
                <w:rPr>
                  <w:i/>
                  <w:iCs/>
                  <w:kern w:val="0"/>
                </w:rPr>
                <w:t>Language Learning</w:t>
              </w:r>
              <w:r w:rsidRPr="00241C5B">
                <w:rPr>
                  <w:kern w:val="0"/>
                </w:rPr>
                <w:t xml:space="preserve">, </w:t>
              </w:r>
              <w:r w:rsidRPr="00241C5B">
                <w:rPr>
                  <w:i/>
                  <w:iCs/>
                  <w:kern w:val="0"/>
                </w:rPr>
                <w:t>66</w:t>
              </w:r>
              <w:r w:rsidRPr="00241C5B">
                <w:rPr>
                  <w:kern w:val="0"/>
                </w:rPr>
                <w:t xml:space="preserve">(4), 834–871. </w:t>
              </w:r>
              <w:r w:rsidR="008219EB">
                <w:rPr>
                  <w:kern w:val="0"/>
                </w:rPr>
                <w:t xml:space="preserve">doi: </w:t>
              </w:r>
              <w:r w:rsidRPr="00241C5B">
                <w:rPr>
                  <w:kern w:val="0"/>
                </w:rPr>
                <w:t>10.1111/lang.12166</w:t>
              </w:r>
              <w:r w:rsidR="00525E97">
                <w:rPr>
                  <w:kern w:val="0"/>
                </w:rPr>
                <w:t xml:space="preserve"> </w:t>
              </w:r>
            </w:p>
            <w:p w14:paraId="67791C0C" w14:textId="77777777" w:rsidR="00525E97" w:rsidRDefault="00525E97" w:rsidP="00525E97">
              <w:pPr>
                <w:pStyle w:val="NormalWeb"/>
                <w:ind w:left="480" w:hanging="480"/>
                <w:rPr>
                  <w:kern w:val="0"/>
                </w:rPr>
              </w:pPr>
              <w:r w:rsidRPr="00525E97">
                <w:rPr>
                  <w:kern w:val="0"/>
                </w:rPr>
                <w:t xml:space="preserve">Murakami, A., &amp; Alexopoulou, T. (2016). Longitudinal L2 development of the English article in individual learners. In A. Papafragou, D. Grodner, D. Mirman, &amp; J. Trueswell (Eds.), </w:t>
              </w:r>
              <w:r w:rsidRPr="00525E97">
                <w:rPr>
                  <w:i/>
                  <w:iCs/>
                  <w:kern w:val="0"/>
                </w:rPr>
                <w:t>Proceedings of the 38th Annual Meeting of the Cognitive Science Society</w:t>
              </w:r>
              <w:r w:rsidRPr="00525E97">
                <w:rPr>
                  <w:kern w:val="0"/>
                </w:rPr>
                <w:t xml:space="preserve"> (pp. 1050–1055). Austin, TX: Cognitive Science Society.</w:t>
              </w:r>
            </w:p>
            <w:p w14:paraId="1CCB492B" w14:textId="2C35D965" w:rsidR="005161C5" w:rsidRPr="00525E97" w:rsidRDefault="005161C5" w:rsidP="00525E97">
              <w:pPr>
                <w:pStyle w:val="NormalWeb"/>
                <w:ind w:left="480" w:hanging="480"/>
                <w:rPr>
                  <w:kern w:val="0"/>
                </w:rPr>
              </w:pPr>
              <w:r>
                <w:lastRenderedPageBreak/>
                <w:t xml:space="preserve">Nicholls, D. (2003). The Cambridge Learner Corpus: Error coding and analysis for lexicography and ELT. In D. Archer, P. Rayson, A. Wilson, &amp; T. McEnery (Eds.), </w:t>
              </w:r>
              <w:r>
                <w:rPr>
                  <w:i/>
                  <w:iCs/>
                </w:rPr>
                <w:t>Proceedings of the Corpus Linguistics 2003</w:t>
              </w:r>
              <w:r>
                <w:t xml:space="preserve"> (pp. 572–581). Lancaster.</w:t>
              </w:r>
            </w:p>
            <w:p w14:paraId="0F3A9CA4" w14:textId="3DC2B915" w:rsidR="004F1426" w:rsidRDefault="004F1426" w:rsidP="005161C5">
              <w:pPr>
                <w:pStyle w:val="NormalWeb"/>
                <w:ind w:left="480" w:hanging="480"/>
              </w:pPr>
              <w:r w:rsidRPr="004F1426">
                <w:t xml:space="preserve">Tono, Y. and </w:t>
              </w:r>
              <w:r w:rsidR="00E63E6E" w:rsidRPr="00E63E6E">
                <w:t>Díez-Bedmar</w:t>
              </w:r>
              <w:r w:rsidRPr="004F1426">
                <w:t xml:space="preserve">, M. B. (2014). Focus on learner writing at the beginning and intermediate stages: The ICCI corpus. </w:t>
              </w:r>
              <w:r w:rsidRPr="005161C5">
                <w:rPr>
                  <w:i/>
                </w:rPr>
                <w:t>International Journal of Corpus Linguistics</w:t>
              </w:r>
              <w:r w:rsidRPr="004F1426">
                <w:t xml:space="preserve">, </w:t>
              </w:r>
              <w:r w:rsidRPr="005161C5">
                <w:rPr>
                  <w:i/>
                </w:rPr>
                <w:t>19</w:t>
              </w:r>
              <w:r w:rsidRPr="004F1426">
                <w:t>(2):163–177.</w:t>
              </w:r>
            </w:p>
            <w:p w14:paraId="07650332" w14:textId="77777777" w:rsidR="005161C5" w:rsidRPr="004F1426" w:rsidRDefault="005161C5" w:rsidP="005161C5">
              <w:pPr>
                <w:pStyle w:val="NormalWeb"/>
                <w:ind w:left="480" w:hanging="480"/>
              </w:pPr>
            </w:p>
            <w:p w14:paraId="2D08809A" w14:textId="17319029" w:rsidR="004F1426" w:rsidRDefault="004F1426" w:rsidP="004F1426">
              <w:pPr>
                <w:pStyle w:val="Bibliography"/>
                <w:ind w:left="0" w:firstLine="0"/>
              </w:pPr>
            </w:p>
          </w:sdtContent>
        </w:sdt>
      </w:sdtContent>
    </w:sdt>
    <w:p w14:paraId="51DD14B6" w14:textId="77777777" w:rsidR="00850FCE" w:rsidRDefault="00850FCE" w:rsidP="00850FCE">
      <w:pPr>
        <w:rPr>
          <w:rFonts w:asciiTheme="majorHAnsi" w:eastAsiaTheme="majorEastAsia" w:hAnsiTheme="majorHAnsi" w:cstheme="majorBidi"/>
          <w:bCs/>
        </w:rPr>
      </w:pPr>
    </w:p>
    <w:p w14:paraId="12DFF7B1" w14:textId="31CB6CD7" w:rsidR="007B495A" w:rsidRDefault="007B495A">
      <w:pPr>
        <w:pStyle w:val="TableFigure"/>
      </w:pPr>
    </w:p>
    <w:p w14:paraId="60C659DC" w14:textId="272D1691" w:rsidR="00E20E4A" w:rsidRDefault="00E20E4A">
      <w:r>
        <w:br w:type="page"/>
      </w:r>
    </w:p>
    <w:p w14:paraId="0FE0435B" w14:textId="5E705F09" w:rsidR="00A82F4F" w:rsidRDefault="00A82F4F" w:rsidP="00A82F4F">
      <w:pPr>
        <w:pStyle w:val="SectionTitle"/>
      </w:pPr>
      <w:r>
        <w:lastRenderedPageBreak/>
        <w:t>Footnotes</w:t>
      </w:r>
    </w:p>
    <w:p w14:paraId="3357E132" w14:textId="0752B0E4" w:rsidR="00E6084A" w:rsidRDefault="00A82F4F" w:rsidP="00E6084A">
      <w:r>
        <w:rPr>
          <w:rStyle w:val="FootnoteReference"/>
        </w:rPr>
        <w:t>1</w:t>
      </w:r>
      <w:r w:rsidR="00E6084A">
        <w:rPr>
          <w:rStyle w:val="FootnoteReference"/>
        </w:rPr>
        <w:t xml:space="preserve"> </w:t>
      </w:r>
      <w:r w:rsidR="00E6084A">
        <w:t>https://alaginrc.nict.go.jp/nict jle/index E.html</w:t>
      </w:r>
      <w:r w:rsidR="00E6084A">
        <w:t xml:space="preserve"> </w:t>
      </w:r>
    </w:p>
    <w:p w14:paraId="0F677AD7" w14:textId="0A58D6C6" w:rsidR="00A82F4F" w:rsidRPr="00E6084A" w:rsidRDefault="00E6084A" w:rsidP="00E6084A">
      <w:r w:rsidRPr="00E6084A">
        <w:rPr>
          <w:vertAlign w:val="superscript"/>
        </w:rPr>
        <w:t>2</w:t>
      </w:r>
      <w:r>
        <w:rPr>
          <w:vertAlign w:val="superscript"/>
        </w:rPr>
        <w:t xml:space="preserve"> </w:t>
      </w:r>
      <w:r>
        <w:t>https://www.uclouvain.be/en-cecl-longdale.html</w:t>
      </w:r>
    </w:p>
    <w:p w14:paraId="09225F1E" w14:textId="515044AD" w:rsidR="00E20E4A" w:rsidRDefault="00E20E4A" w:rsidP="00E20E4A">
      <w:pPr>
        <w:pStyle w:val="SectionTitle"/>
      </w:pPr>
      <w:r>
        <w:lastRenderedPageBreak/>
        <w:t>Tables</w:t>
      </w:r>
    </w:p>
    <w:p w14:paraId="06A7C4D0" w14:textId="77777777" w:rsidR="00E20E4A" w:rsidRDefault="00E20E4A" w:rsidP="00E20E4A">
      <w:pPr>
        <w:pStyle w:val="NoSpacing"/>
      </w:pPr>
      <w:r>
        <w:t>Table 1</w:t>
      </w:r>
    </w:p>
    <w:p w14:paraId="6D361AE7" w14:textId="15CBE871" w:rsidR="00E20E4A" w:rsidRDefault="005F7760" w:rsidP="00E20E4A">
      <w:pPr>
        <w:pStyle w:val="NoSpacing"/>
        <w:rPr>
          <w:rStyle w:val="Emphasis"/>
        </w:rPr>
      </w:pPr>
      <w:r w:rsidRPr="005F7760">
        <w:rPr>
          <w:rStyle w:val="Emphasis"/>
        </w:rPr>
        <w:t>Alignment between Englishtown levels and common proficiency standards</w:t>
      </w:r>
    </w:p>
    <w:tbl>
      <w:tblPr>
        <w:tblW w:w="5000" w:type="pct"/>
        <w:tblLook w:val="04A0" w:firstRow="1" w:lastRow="0" w:firstColumn="1" w:lastColumn="0" w:noHBand="0" w:noVBand="1"/>
      </w:tblPr>
      <w:tblGrid>
        <w:gridCol w:w="3116"/>
        <w:gridCol w:w="1040"/>
        <w:gridCol w:w="1040"/>
        <w:gridCol w:w="1041"/>
        <w:gridCol w:w="1041"/>
        <w:gridCol w:w="1041"/>
        <w:gridCol w:w="1041"/>
      </w:tblGrid>
      <w:tr w:rsidR="005F7760" w:rsidRPr="005F7760" w14:paraId="0617A707" w14:textId="77777777" w:rsidTr="005F7760">
        <w:trPr>
          <w:trHeight w:val="320"/>
        </w:trPr>
        <w:tc>
          <w:tcPr>
            <w:tcW w:w="1375" w:type="pct"/>
            <w:tcBorders>
              <w:top w:val="single" w:sz="4" w:space="0" w:color="auto"/>
              <w:left w:val="nil"/>
              <w:bottom w:val="single" w:sz="4" w:space="0" w:color="auto"/>
              <w:right w:val="nil"/>
            </w:tcBorders>
            <w:shd w:val="clear" w:color="auto" w:fill="auto"/>
            <w:noWrap/>
            <w:vAlign w:val="bottom"/>
            <w:hideMark/>
          </w:tcPr>
          <w:p w14:paraId="3B3938A5" w14:textId="77777777" w:rsidR="005F7760" w:rsidRPr="005F7760" w:rsidRDefault="005F7760" w:rsidP="005F7760">
            <w:pPr>
              <w:spacing w:line="240" w:lineRule="auto"/>
              <w:ind w:firstLine="0"/>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Englishtown</w:t>
            </w:r>
          </w:p>
        </w:tc>
        <w:tc>
          <w:tcPr>
            <w:tcW w:w="604" w:type="pct"/>
            <w:tcBorders>
              <w:top w:val="single" w:sz="4" w:space="0" w:color="auto"/>
              <w:left w:val="nil"/>
              <w:bottom w:val="single" w:sz="4" w:space="0" w:color="auto"/>
              <w:right w:val="nil"/>
            </w:tcBorders>
            <w:shd w:val="clear" w:color="auto" w:fill="auto"/>
            <w:noWrap/>
            <w:vAlign w:val="bottom"/>
            <w:hideMark/>
          </w:tcPr>
          <w:p w14:paraId="1D3EF779"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1-3</w:t>
            </w:r>
          </w:p>
        </w:tc>
        <w:tc>
          <w:tcPr>
            <w:tcW w:w="604" w:type="pct"/>
            <w:tcBorders>
              <w:top w:val="single" w:sz="4" w:space="0" w:color="auto"/>
              <w:left w:val="nil"/>
              <w:bottom w:val="single" w:sz="4" w:space="0" w:color="auto"/>
              <w:right w:val="nil"/>
            </w:tcBorders>
            <w:shd w:val="clear" w:color="auto" w:fill="auto"/>
            <w:noWrap/>
            <w:vAlign w:val="bottom"/>
            <w:hideMark/>
          </w:tcPr>
          <w:p w14:paraId="13A89528"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4-6</w:t>
            </w:r>
          </w:p>
        </w:tc>
        <w:tc>
          <w:tcPr>
            <w:tcW w:w="604" w:type="pct"/>
            <w:tcBorders>
              <w:top w:val="single" w:sz="4" w:space="0" w:color="auto"/>
              <w:left w:val="nil"/>
              <w:bottom w:val="single" w:sz="4" w:space="0" w:color="auto"/>
              <w:right w:val="nil"/>
            </w:tcBorders>
            <w:shd w:val="clear" w:color="auto" w:fill="auto"/>
            <w:noWrap/>
            <w:vAlign w:val="bottom"/>
            <w:hideMark/>
          </w:tcPr>
          <w:p w14:paraId="456EDBD9"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7-9</w:t>
            </w:r>
          </w:p>
        </w:tc>
        <w:tc>
          <w:tcPr>
            <w:tcW w:w="604" w:type="pct"/>
            <w:tcBorders>
              <w:top w:val="single" w:sz="4" w:space="0" w:color="auto"/>
              <w:left w:val="nil"/>
              <w:bottom w:val="single" w:sz="4" w:space="0" w:color="auto"/>
              <w:right w:val="nil"/>
            </w:tcBorders>
            <w:shd w:val="clear" w:color="auto" w:fill="auto"/>
            <w:noWrap/>
            <w:vAlign w:val="bottom"/>
            <w:hideMark/>
          </w:tcPr>
          <w:p w14:paraId="48F4F623"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10-12</w:t>
            </w:r>
          </w:p>
        </w:tc>
        <w:tc>
          <w:tcPr>
            <w:tcW w:w="604" w:type="pct"/>
            <w:tcBorders>
              <w:top w:val="single" w:sz="4" w:space="0" w:color="auto"/>
              <w:left w:val="nil"/>
              <w:bottom w:val="single" w:sz="4" w:space="0" w:color="auto"/>
              <w:right w:val="nil"/>
            </w:tcBorders>
            <w:shd w:val="clear" w:color="auto" w:fill="auto"/>
            <w:noWrap/>
            <w:vAlign w:val="bottom"/>
            <w:hideMark/>
          </w:tcPr>
          <w:p w14:paraId="7893828A"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13-15</w:t>
            </w:r>
          </w:p>
        </w:tc>
        <w:tc>
          <w:tcPr>
            <w:tcW w:w="604" w:type="pct"/>
            <w:tcBorders>
              <w:top w:val="single" w:sz="4" w:space="0" w:color="auto"/>
              <w:left w:val="nil"/>
              <w:bottom w:val="single" w:sz="4" w:space="0" w:color="auto"/>
              <w:right w:val="nil"/>
            </w:tcBorders>
            <w:shd w:val="clear" w:color="auto" w:fill="auto"/>
            <w:noWrap/>
            <w:vAlign w:val="bottom"/>
            <w:hideMark/>
          </w:tcPr>
          <w:p w14:paraId="4E03E291"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16</w:t>
            </w:r>
          </w:p>
        </w:tc>
      </w:tr>
      <w:tr w:rsidR="005F7760" w:rsidRPr="005F7760" w14:paraId="3E55F570" w14:textId="77777777" w:rsidTr="005F7760">
        <w:trPr>
          <w:trHeight w:val="320"/>
        </w:trPr>
        <w:tc>
          <w:tcPr>
            <w:tcW w:w="1375" w:type="pct"/>
            <w:tcBorders>
              <w:top w:val="nil"/>
              <w:left w:val="nil"/>
              <w:bottom w:val="nil"/>
              <w:right w:val="nil"/>
            </w:tcBorders>
            <w:shd w:val="clear" w:color="auto" w:fill="auto"/>
            <w:noWrap/>
            <w:vAlign w:val="bottom"/>
            <w:hideMark/>
          </w:tcPr>
          <w:p w14:paraId="546F5C8E" w14:textId="77777777" w:rsidR="005F7760" w:rsidRPr="005F7760" w:rsidRDefault="005F7760" w:rsidP="005F7760">
            <w:pPr>
              <w:spacing w:line="240" w:lineRule="auto"/>
              <w:ind w:firstLine="0"/>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Cambridge Main Suite Exams</w:t>
            </w:r>
          </w:p>
        </w:tc>
        <w:tc>
          <w:tcPr>
            <w:tcW w:w="604" w:type="pct"/>
            <w:tcBorders>
              <w:top w:val="nil"/>
              <w:left w:val="nil"/>
              <w:bottom w:val="nil"/>
              <w:right w:val="nil"/>
            </w:tcBorders>
            <w:shd w:val="clear" w:color="auto" w:fill="auto"/>
            <w:noWrap/>
            <w:vAlign w:val="bottom"/>
            <w:hideMark/>
          </w:tcPr>
          <w:p w14:paraId="4F3EA973"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c>
          <w:tcPr>
            <w:tcW w:w="604" w:type="pct"/>
            <w:tcBorders>
              <w:top w:val="nil"/>
              <w:left w:val="nil"/>
              <w:bottom w:val="nil"/>
              <w:right w:val="nil"/>
            </w:tcBorders>
            <w:shd w:val="clear" w:color="auto" w:fill="auto"/>
            <w:noWrap/>
            <w:vAlign w:val="bottom"/>
            <w:hideMark/>
          </w:tcPr>
          <w:p w14:paraId="31F76FE7"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KET</w:t>
            </w:r>
          </w:p>
        </w:tc>
        <w:tc>
          <w:tcPr>
            <w:tcW w:w="604" w:type="pct"/>
            <w:tcBorders>
              <w:top w:val="nil"/>
              <w:left w:val="nil"/>
              <w:bottom w:val="nil"/>
              <w:right w:val="nil"/>
            </w:tcBorders>
            <w:shd w:val="clear" w:color="auto" w:fill="auto"/>
            <w:noWrap/>
            <w:vAlign w:val="bottom"/>
            <w:hideMark/>
          </w:tcPr>
          <w:p w14:paraId="7C8CC38F"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PET</w:t>
            </w:r>
          </w:p>
        </w:tc>
        <w:tc>
          <w:tcPr>
            <w:tcW w:w="604" w:type="pct"/>
            <w:tcBorders>
              <w:top w:val="nil"/>
              <w:left w:val="nil"/>
              <w:bottom w:val="nil"/>
              <w:right w:val="nil"/>
            </w:tcBorders>
            <w:shd w:val="clear" w:color="auto" w:fill="auto"/>
            <w:noWrap/>
            <w:vAlign w:val="bottom"/>
            <w:hideMark/>
          </w:tcPr>
          <w:p w14:paraId="3F375290"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FCE</w:t>
            </w:r>
          </w:p>
        </w:tc>
        <w:tc>
          <w:tcPr>
            <w:tcW w:w="604" w:type="pct"/>
            <w:tcBorders>
              <w:top w:val="nil"/>
              <w:left w:val="nil"/>
              <w:bottom w:val="nil"/>
              <w:right w:val="nil"/>
            </w:tcBorders>
            <w:shd w:val="clear" w:color="auto" w:fill="auto"/>
            <w:noWrap/>
            <w:vAlign w:val="bottom"/>
            <w:hideMark/>
          </w:tcPr>
          <w:p w14:paraId="486743D7"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CAE</w:t>
            </w:r>
          </w:p>
        </w:tc>
        <w:tc>
          <w:tcPr>
            <w:tcW w:w="604" w:type="pct"/>
            <w:tcBorders>
              <w:top w:val="nil"/>
              <w:left w:val="nil"/>
              <w:bottom w:val="nil"/>
              <w:right w:val="nil"/>
            </w:tcBorders>
            <w:shd w:val="clear" w:color="auto" w:fill="auto"/>
            <w:noWrap/>
            <w:vAlign w:val="bottom"/>
            <w:hideMark/>
          </w:tcPr>
          <w:p w14:paraId="3CA26DAA"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r>
      <w:tr w:rsidR="005F7760" w:rsidRPr="005F7760" w14:paraId="179ADB13" w14:textId="77777777" w:rsidTr="005F7760">
        <w:trPr>
          <w:trHeight w:val="320"/>
        </w:trPr>
        <w:tc>
          <w:tcPr>
            <w:tcW w:w="1375" w:type="pct"/>
            <w:tcBorders>
              <w:top w:val="nil"/>
              <w:left w:val="nil"/>
              <w:bottom w:val="nil"/>
              <w:right w:val="nil"/>
            </w:tcBorders>
            <w:shd w:val="clear" w:color="auto" w:fill="auto"/>
            <w:noWrap/>
            <w:vAlign w:val="bottom"/>
            <w:hideMark/>
          </w:tcPr>
          <w:p w14:paraId="02B5ABFF" w14:textId="77777777" w:rsidR="005F7760" w:rsidRPr="005F7760" w:rsidRDefault="005F7760" w:rsidP="005F7760">
            <w:pPr>
              <w:spacing w:line="240" w:lineRule="auto"/>
              <w:ind w:firstLine="0"/>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IELTS</w:t>
            </w:r>
          </w:p>
        </w:tc>
        <w:tc>
          <w:tcPr>
            <w:tcW w:w="604" w:type="pct"/>
            <w:tcBorders>
              <w:top w:val="nil"/>
              <w:left w:val="nil"/>
              <w:bottom w:val="nil"/>
              <w:right w:val="nil"/>
            </w:tcBorders>
            <w:shd w:val="clear" w:color="auto" w:fill="auto"/>
            <w:noWrap/>
            <w:vAlign w:val="bottom"/>
            <w:hideMark/>
          </w:tcPr>
          <w:p w14:paraId="0E94151B"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c>
          <w:tcPr>
            <w:tcW w:w="604" w:type="pct"/>
            <w:tcBorders>
              <w:top w:val="nil"/>
              <w:left w:val="nil"/>
              <w:bottom w:val="nil"/>
              <w:right w:val="nil"/>
            </w:tcBorders>
            <w:shd w:val="clear" w:color="auto" w:fill="auto"/>
            <w:noWrap/>
            <w:vAlign w:val="bottom"/>
            <w:hideMark/>
          </w:tcPr>
          <w:p w14:paraId="61FA5A84"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&lt; 3</w:t>
            </w:r>
          </w:p>
        </w:tc>
        <w:tc>
          <w:tcPr>
            <w:tcW w:w="604" w:type="pct"/>
            <w:tcBorders>
              <w:top w:val="nil"/>
              <w:left w:val="nil"/>
              <w:bottom w:val="nil"/>
              <w:right w:val="nil"/>
            </w:tcBorders>
            <w:shd w:val="clear" w:color="auto" w:fill="auto"/>
            <w:noWrap/>
            <w:vAlign w:val="bottom"/>
            <w:hideMark/>
          </w:tcPr>
          <w:p w14:paraId="5C6F6327"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4-5</w:t>
            </w:r>
          </w:p>
        </w:tc>
        <w:tc>
          <w:tcPr>
            <w:tcW w:w="604" w:type="pct"/>
            <w:tcBorders>
              <w:top w:val="nil"/>
              <w:left w:val="nil"/>
              <w:bottom w:val="nil"/>
              <w:right w:val="nil"/>
            </w:tcBorders>
            <w:shd w:val="clear" w:color="auto" w:fill="auto"/>
            <w:noWrap/>
            <w:vAlign w:val="bottom"/>
            <w:hideMark/>
          </w:tcPr>
          <w:p w14:paraId="383BA9E8"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5-6</w:t>
            </w:r>
          </w:p>
        </w:tc>
        <w:tc>
          <w:tcPr>
            <w:tcW w:w="604" w:type="pct"/>
            <w:tcBorders>
              <w:top w:val="nil"/>
              <w:left w:val="nil"/>
              <w:bottom w:val="nil"/>
              <w:right w:val="nil"/>
            </w:tcBorders>
            <w:shd w:val="clear" w:color="auto" w:fill="auto"/>
            <w:noWrap/>
            <w:vAlign w:val="bottom"/>
            <w:hideMark/>
          </w:tcPr>
          <w:p w14:paraId="63F201D8"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6-7</w:t>
            </w:r>
          </w:p>
        </w:tc>
        <w:tc>
          <w:tcPr>
            <w:tcW w:w="604" w:type="pct"/>
            <w:tcBorders>
              <w:top w:val="nil"/>
              <w:left w:val="nil"/>
              <w:bottom w:val="nil"/>
              <w:right w:val="nil"/>
            </w:tcBorders>
            <w:shd w:val="clear" w:color="auto" w:fill="auto"/>
            <w:noWrap/>
            <w:vAlign w:val="bottom"/>
            <w:hideMark/>
          </w:tcPr>
          <w:p w14:paraId="563DB022"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&gt; 7</w:t>
            </w:r>
          </w:p>
        </w:tc>
      </w:tr>
      <w:tr w:rsidR="005F7760" w:rsidRPr="005F7760" w14:paraId="716044B2" w14:textId="77777777" w:rsidTr="005F7760">
        <w:trPr>
          <w:trHeight w:val="320"/>
        </w:trPr>
        <w:tc>
          <w:tcPr>
            <w:tcW w:w="1375" w:type="pct"/>
            <w:tcBorders>
              <w:top w:val="nil"/>
              <w:left w:val="nil"/>
              <w:bottom w:val="nil"/>
              <w:right w:val="nil"/>
            </w:tcBorders>
            <w:shd w:val="clear" w:color="auto" w:fill="auto"/>
            <w:noWrap/>
            <w:vAlign w:val="bottom"/>
            <w:hideMark/>
          </w:tcPr>
          <w:p w14:paraId="2AD32FC3" w14:textId="77777777" w:rsidR="005F7760" w:rsidRPr="005F7760" w:rsidRDefault="005F7760" w:rsidP="005F7760">
            <w:pPr>
              <w:spacing w:line="240" w:lineRule="auto"/>
              <w:ind w:firstLine="0"/>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TOEFL iBT</w:t>
            </w:r>
          </w:p>
        </w:tc>
        <w:tc>
          <w:tcPr>
            <w:tcW w:w="604" w:type="pct"/>
            <w:tcBorders>
              <w:top w:val="nil"/>
              <w:left w:val="nil"/>
              <w:bottom w:val="nil"/>
              <w:right w:val="nil"/>
            </w:tcBorders>
            <w:shd w:val="clear" w:color="auto" w:fill="auto"/>
            <w:noWrap/>
            <w:vAlign w:val="bottom"/>
            <w:hideMark/>
          </w:tcPr>
          <w:p w14:paraId="02DC06BD"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c>
          <w:tcPr>
            <w:tcW w:w="604" w:type="pct"/>
            <w:tcBorders>
              <w:top w:val="nil"/>
              <w:left w:val="nil"/>
              <w:bottom w:val="nil"/>
              <w:right w:val="nil"/>
            </w:tcBorders>
            <w:shd w:val="clear" w:color="auto" w:fill="auto"/>
            <w:noWrap/>
            <w:vAlign w:val="bottom"/>
            <w:hideMark/>
          </w:tcPr>
          <w:p w14:paraId="4DFB2B4B"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c>
          <w:tcPr>
            <w:tcW w:w="604" w:type="pct"/>
            <w:tcBorders>
              <w:top w:val="nil"/>
              <w:left w:val="nil"/>
              <w:bottom w:val="nil"/>
              <w:right w:val="nil"/>
            </w:tcBorders>
            <w:shd w:val="clear" w:color="auto" w:fill="auto"/>
            <w:noWrap/>
            <w:vAlign w:val="bottom"/>
            <w:hideMark/>
          </w:tcPr>
          <w:p w14:paraId="37B8C3A6"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57-86</w:t>
            </w:r>
          </w:p>
        </w:tc>
        <w:tc>
          <w:tcPr>
            <w:tcW w:w="604" w:type="pct"/>
            <w:tcBorders>
              <w:top w:val="nil"/>
              <w:left w:val="nil"/>
              <w:bottom w:val="nil"/>
              <w:right w:val="nil"/>
            </w:tcBorders>
            <w:shd w:val="clear" w:color="auto" w:fill="auto"/>
            <w:noWrap/>
            <w:vAlign w:val="bottom"/>
            <w:hideMark/>
          </w:tcPr>
          <w:p w14:paraId="46369B42"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87-109</w:t>
            </w:r>
          </w:p>
        </w:tc>
        <w:tc>
          <w:tcPr>
            <w:tcW w:w="604" w:type="pct"/>
            <w:tcBorders>
              <w:top w:val="nil"/>
              <w:left w:val="nil"/>
              <w:bottom w:val="nil"/>
              <w:right w:val="nil"/>
            </w:tcBorders>
            <w:shd w:val="clear" w:color="auto" w:fill="auto"/>
            <w:noWrap/>
            <w:vAlign w:val="bottom"/>
            <w:hideMark/>
          </w:tcPr>
          <w:p w14:paraId="37EF18A8"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110-120</w:t>
            </w:r>
          </w:p>
        </w:tc>
        <w:tc>
          <w:tcPr>
            <w:tcW w:w="604" w:type="pct"/>
            <w:tcBorders>
              <w:top w:val="nil"/>
              <w:left w:val="nil"/>
              <w:bottom w:val="nil"/>
              <w:right w:val="nil"/>
            </w:tcBorders>
            <w:shd w:val="clear" w:color="auto" w:fill="auto"/>
            <w:noWrap/>
            <w:vAlign w:val="bottom"/>
            <w:hideMark/>
          </w:tcPr>
          <w:p w14:paraId="6A91AB29"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r>
      <w:tr w:rsidR="005F7760" w:rsidRPr="005F7760" w14:paraId="61CF3EB5" w14:textId="77777777" w:rsidTr="005F7760">
        <w:trPr>
          <w:trHeight w:val="320"/>
        </w:trPr>
        <w:tc>
          <w:tcPr>
            <w:tcW w:w="1375" w:type="pct"/>
            <w:tcBorders>
              <w:top w:val="nil"/>
              <w:left w:val="nil"/>
              <w:bottom w:val="nil"/>
              <w:right w:val="nil"/>
            </w:tcBorders>
            <w:shd w:val="clear" w:color="auto" w:fill="auto"/>
            <w:noWrap/>
            <w:vAlign w:val="bottom"/>
            <w:hideMark/>
          </w:tcPr>
          <w:p w14:paraId="153843B9" w14:textId="77777777" w:rsidR="005F7760" w:rsidRPr="005F7760" w:rsidRDefault="005F7760" w:rsidP="005F7760">
            <w:pPr>
              <w:spacing w:line="240" w:lineRule="auto"/>
              <w:ind w:firstLine="0"/>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TOEIC Listening &amp; Reading</w:t>
            </w:r>
          </w:p>
        </w:tc>
        <w:tc>
          <w:tcPr>
            <w:tcW w:w="604" w:type="pct"/>
            <w:tcBorders>
              <w:top w:val="nil"/>
              <w:left w:val="nil"/>
              <w:bottom w:val="nil"/>
              <w:right w:val="nil"/>
            </w:tcBorders>
            <w:shd w:val="clear" w:color="auto" w:fill="auto"/>
            <w:noWrap/>
            <w:vAlign w:val="bottom"/>
            <w:hideMark/>
          </w:tcPr>
          <w:p w14:paraId="2A8AC8C8"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120-220</w:t>
            </w:r>
          </w:p>
        </w:tc>
        <w:tc>
          <w:tcPr>
            <w:tcW w:w="604" w:type="pct"/>
            <w:tcBorders>
              <w:top w:val="nil"/>
              <w:left w:val="nil"/>
              <w:bottom w:val="nil"/>
              <w:right w:val="nil"/>
            </w:tcBorders>
            <w:shd w:val="clear" w:color="auto" w:fill="auto"/>
            <w:noWrap/>
            <w:vAlign w:val="bottom"/>
            <w:hideMark/>
          </w:tcPr>
          <w:p w14:paraId="29455974"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225-545</w:t>
            </w:r>
          </w:p>
        </w:tc>
        <w:tc>
          <w:tcPr>
            <w:tcW w:w="604" w:type="pct"/>
            <w:tcBorders>
              <w:top w:val="nil"/>
              <w:left w:val="nil"/>
              <w:bottom w:val="nil"/>
              <w:right w:val="nil"/>
            </w:tcBorders>
            <w:shd w:val="clear" w:color="auto" w:fill="auto"/>
            <w:noWrap/>
            <w:vAlign w:val="bottom"/>
            <w:hideMark/>
          </w:tcPr>
          <w:p w14:paraId="648584D7"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550-780</w:t>
            </w:r>
          </w:p>
        </w:tc>
        <w:tc>
          <w:tcPr>
            <w:tcW w:w="604" w:type="pct"/>
            <w:tcBorders>
              <w:top w:val="nil"/>
              <w:left w:val="nil"/>
              <w:bottom w:val="nil"/>
              <w:right w:val="nil"/>
            </w:tcBorders>
            <w:shd w:val="clear" w:color="auto" w:fill="auto"/>
            <w:noWrap/>
            <w:vAlign w:val="bottom"/>
            <w:hideMark/>
          </w:tcPr>
          <w:p w14:paraId="714613CE"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785-940</w:t>
            </w:r>
          </w:p>
        </w:tc>
        <w:tc>
          <w:tcPr>
            <w:tcW w:w="604" w:type="pct"/>
            <w:tcBorders>
              <w:top w:val="nil"/>
              <w:left w:val="nil"/>
              <w:bottom w:val="nil"/>
              <w:right w:val="nil"/>
            </w:tcBorders>
            <w:shd w:val="clear" w:color="auto" w:fill="auto"/>
            <w:noWrap/>
            <w:vAlign w:val="bottom"/>
            <w:hideMark/>
          </w:tcPr>
          <w:p w14:paraId="2872AEAA"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945</w:t>
            </w:r>
          </w:p>
        </w:tc>
        <w:tc>
          <w:tcPr>
            <w:tcW w:w="604" w:type="pct"/>
            <w:tcBorders>
              <w:top w:val="nil"/>
              <w:left w:val="nil"/>
              <w:bottom w:val="nil"/>
              <w:right w:val="nil"/>
            </w:tcBorders>
            <w:shd w:val="clear" w:color="auto" w:fill="auto"/>
            <w:noWrap/>
            <w:vAlign w:val="bottom"/>
            <w:hideMark/>
          </w:tcPr>
          <w:p w14:paraId="52A367BA"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r>
      <w:tr w:rsidR="005F7760" w:rsidRPr="005F7760" w14:paraId="08FCA52B" w14:textId="77777777" w:rsidTr="005F7760">
        <w:trPr>
          <w:trHeight w:val="320"/>
        </w:trPr>
        <w:tc>
          <w:tcPr>
            <w:tcW w:w="1375" w:type="pct"/>
            <w:tcBorders>
              <w:top w:val="nil"/>
              <w:left w:val="nil"/>
              <w:bottom w:val="nil"/>
              <w:right w:val="nil"/>
            </w:tcBorders>
            <w:shd w:val="clear" w:color="auto" w:fill="auto"/>
            <w:noWrap/>
            <w:vAlign w:val="bottom"/>
            <w:hideMark/>
          </w:tcPr>
          <w:p w14:paraId="66A5946C" w14:textId="77777777" w:rsidR="005F7760" w:rsidRPr="005F7760" w:rsidRDefault="005F7760" w:rsidP="005F7760">
            <w:pPr>
              <w:spacing w:line="240" w:lineRule="auto"/>
              <w:ind w:firstLine="0"/>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TOEIC Speaking &amp; Writing</w:t>
            </w:r>
          </w:p>
        </w:tc>
        <w:tc>
          <w:tcPr>
            <w:tcW w:w="604" w:type="pct"/>
            <w:tcBorders>
              <w:top w:val="nil"/>
              <w:left w:val="nil"/>
              <w:bottom w:val="nil"/>
              <w:right w:val="nil"/>
            </w:tcBorders>
            <w:shd w:val="clear" w:color="auto" w:fill="auto"/>
            <w:noWrap/>
            <w:vAlign w:val="bottom"/>
            <w:hideMark/>
          </w:tcPr>
          <w:p w14:paraId="793BD7EF"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40-70</w:t>
            </w:r>
          </w:p>
        </w:tc>
        <w:tc>
          <w:tcPr>
            <w:tcW w:w="604" w:type="pct"/>
            <w:tcBorders>
              <w:top w:val="nil"/>
              <w:left w:val="nil"/>
              <w:bottom w:val="nil"/>
              <w:right w:val="nil"/>
            </w:tcBorders>
            <w:shd w:val="clear" w:color="auto" w:fill="auto"/>
            <w:noWrap/>
            <w:vAlign w:val="bottom"/>
            <w:hideMark/>
          </w:tcPr>
          <w:p w14:paraId="07D7F0D3"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80-110</w:t>
            </w:r>
          </w:p>
        </w:tc>
        <w:tc>
          <w:tcPr>
            <w:tcW w:w="604" w:type="pct"/>
            <w:tcBorders>
              <w:top w:val="nil"/>
              <w:left w:val="nil"/>
              <w:bottom w:val="nil"/>
              <w:right w:val="nil"/>
            </w:tcBorders>
            <w:shd w:val="clear" w:color="auto" w:fill="auto"/>
            <w:noWrap/>
            <w:vAlign w:val="bottom"/>
            <w:hideMark/>
          </w:tcPr>
          <w:p w14:paraId="023E9204"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120-140</w:t>
            </w:r>
          </w:p>
        </w:tc>
        <w:tc>
          <w:tcPr>
            <w:tcW w:w="604" w:type="pct"/>
            <w:tcBorders>
              <w:top w:val="nil"/>
              <w:left w:val="nil"/>
              <w:bottom w:val="nil"/>
              <w:right w:val="nil"/>
            </w:tcBorders>
            <w:shd w:val="clear" w:color="auto" w:fill="auto"/>
            <w:noWrap/>
            <w:vAlign w:val="bottom"/>
            <w:hideMark/>
          </w:tcPr>
          <w:p w14:paraId="3574623E"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150-190</w:t>
            </w:r>
          </w:p>
        </w:tc>
        <w:tc>
          <w:tcPr>
            <w:tcW w:w="604" w:type="pct"/>
            <w:tcBorders>
              <w:top w:val="nil"/>
              <w:left w:val="nil"/>
              <w:bottom w:val="nil"/>
              <w:right w:val="nil"/>
            </w:tcBorders>
            <w:shd w:val="clear" w:color="auto" w:fill="auto"/>
            <w:noWrap/>
            <w:vAlign w:val="bottom"/>
            <w:hideMark/>
          </w:tcPr>
          <w:p w14:paraId="4CE9C69B"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200</w:t>
            </w:r>
          </w:p>
        </w:tc>
        <w:tc>
          <w:tcPr>
            <w:tcW w:w="604" w:type="pct"/>
            <w:tcBorders>
              <w:top w:val="nil"/>
              <w:left w:val="nil"/>
              <w:bottom w:val="nil"/>
              <w:right w:val="nil"/>
            </w:tcBorders>
            <w:shd w:val="clear" w:color="auto" w:fill="auto"/>
            <w:noWrap/>
            <w:vAlign w:val="bottom"/>
            <w:hideMark/>
          </w:tcPr>
          <w:p w14:paraId="3F75103C"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w:t>
            </w:r>
          </w:p>
        </w:tc>
      </w:tr>
      <w:tr w:rsidR="005F7760" w:rsidRPr="005F7760" w14:paraId="29B3F1FA" w14:textId="77777777" w:rsidTr="005F7760">
        <w:trPr>
          <w:trHeight w:val="320"/>
        </w:trPr>
        <w:tc>
          <w:tcPr>
            <w:tcW w:w="1375" w:type="pct"/>
            <w:tcBorders>
              <w:top w:val="nil"/>
              <w:left w:val="nil"/>
              <w:bottom w:val="single" w:sz="4" w:space="0" w:color="auto"/>
              <w:right w:val="nil"/>
            </w:tcBorders>
            <w:shd w:val="clear" w:color="auto" w:fill="auto"/>
            <w:noWrap/>
            <w:vAlign w:val="bottom"/>
            <w:hideMark/>
          </w:tcPr>
          <w:p w14:paraId="5F590E27" w14:textId="77777777" w:rsidR="005F7760" w:rsidRPr="005F7760" w:rsidRDefault="005F7760" w:rsidP="005F7760">
            <w:pPr>
              <w:spacing w:line="240" w:lineRule="auto"/>
              <w:ind w:firstLine="0"/>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CEFR</w:t>
            </w:r>
          </w:p>
        </w:tc>
        <w:tc>
          <w:tcPr>
            <w:tcW w:w="604" w:type="pct"/>
            <w:tcBorders>
              <w:top w:val="nil"/>
              <w:left w:val="nil"/>
              <w:bottom w:val="single" w:sz="4" w:space="0" w:color="auto"/>
              <w:right w:val="nil"/>
            </w:tcBorders>
            <w:shd w:val="clear" w:color="auto" w:fill="auto"/>
            <w:noWrap/>
            <w:vAlign w:val="bottom"/>
            <w:hideMark/>
          </w:tcPr>
          <w:p w14:paraId="7680DC76"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A1</w:t>
            </w:r>
          </w:p>
        </w:tc>
        <w:tc>
          <w:tcPr>
            <w:tcW w:w="604" w:type="pct"/>
            <w:tcBorders>
              <w:top w:val="nil"/>
              <w:left w:val="nil"/>
              <w:bottom w:val="single" w:sz="4" w:space="0" w:color="auto"/>
              <w:right w:val="nil"/>
            </w:tcBorders>
            <w:shd w:val="clear" w:color="auto" w:fill="auto"/>
            <w:noWrap/>
            <w:vAlign w:val="bottom"/>
            <w:hideMark/>
          </w:tcPr>
          <w:p w14:paraId="48968318"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A2</w:t>
            </w:r>
          </w:p>
        </w:tc>
        <w:tc>
          <w:tcPr>
            <w:tcW w:w="604" w:type="pct"/>
            <w:tcBorders>
              <w:top w:val="nil"/>
              <w:left w:val="nil"/>
              <w:bottom w:val="single" w:sz="4" w:space="0" w:color="auto"/>
              <w:right w:val="nil"/>
            </w:tcBorders>
            <w:shd w:val="clear" w:color="auto" w:fill="auto"/>
            <w:noWrap/>
            <w:vAlign w:val="bottom"/>
            <w:hideMark/>
          </w:tcPr>
          <w:p w14:paraId="512FFCAB"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B1</w:t>
            </w:r>
          </w:p>
        </w:tc>
        <w:tc>
          <w:tcPr>
            <w:tcW w:w="604" w:type="pct"/>
            <w:tcBorders>
              <w:top w:val="nil"/>
              <w:left w:val="nil"/>
              <w:bottom w:val="single" w:sz="4" w:space="0" w:color="auto"/>
              <w:right w:val="nil"/>
            </w:tcBorders>
            <w:shd w:val="clear" w:color="auto" w:fill="auto"/>
            <w:noWrap/>
            <w:vAlign w:val="bottom"/>
            <w:hideMark/>
          </w:tcPr>
          <w:p w14:paraId="38FD1ADE"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B2</w:t>
            </w:r>
          </w:p>
        </w:tc>
        <w:tc>
          <w:tcPr>
            <w:tcW w:w="604" w:type="pct"/>
            <w:tcBorders>
              <w:top w:val="nil"/>
              <w:left w:val="nil"/>
              <w:bottom w:val="single" w:sz="4" w:space="0" w:color="auto"/>
              <w:right w:val="nil"/>
            </w:tcBorders>
            <w:shd w:val="clear" w:color="auto" w:fill="auto"/>
            <w:noWrap/>
            <w:vAlign w:val="bottom"/>
            <w:hideMark/>
          </w:tcPr>
          <w:p w14:paraId="60FC7BF5"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C1</w:t>
            </w:r>
          </w:p>
        </w:tc>
        <w:tc>
          <w:tcPr>
            <w:tcW w:w="604" w:type="pct"/>
            <w:tcBorders>
              <w:top w:val="nil"/>
              <w:left w:val="nil"/>
              <w:bottom w:val="single" w:sz="4" w:space="0" w:color="auto"/>
              <w:right w:val="nil"/>
            </w:tcBorders>
            <w:shd w:val="clear" w:color="auto" w:fill="auto"/>
            <w:noWrap/>
            <w:vAlign w:val="bottom"/>
            <w:hideMark/>
          </w:tcPr>
          <w:p w14:paraId="512C4084" w14:textId="77777777" w:rsidR="005F7760" w:rsidRPr="005F7760" w:rsidRDefault="005F7760" w:rsidP="005F7760">
            <w:pPr>
              <w:spacing w:line="240" w:lineRule="auto"/>
              <w:ind w:firstLine="0"/>
              <w:jc w:val="center"/>
              <w:rPr>
                <w:rFonts w:ascii="Times New Roman" w:eastAsia="Times New Roman" w:hAnsi="Times New Roman" w:cs="Times New Roman"/>
                <w:color w:val="000000"/>
                <w:kern w:val="0"/>
              </w:rPr>
            </w:pPr>
            <w:r w:rsidRPr="005F7760">
              <w:rPr>
                <w:rFonts w:ascii="Times New Roman" w:eastAsia="Times New Roman" w:hAnsi="Times New Roman" w:cs="Times New Roman"/>
                <w:color w:val="000000"/>
                <w:kern w:val="0"/>
              </w:rPr>
              <w:t>C2</w:t>
            </w:r>
          </w:p>
        </w:tc>
      </w:tr>
    </w:tbl>
    <w:p w14:paraId="07C7700D" w14:textId="77777777" w:rsidR="002B57B3" w:rsidRDefault="002B57B3" w:rsidP="0068224E">
      <w:pPr>
        <w:pStyle w:val="TableFigure"/>
      </w:pPr>
    </w:p>
    <w:p w14:paraId="08A2BEE9" w14:textId="0CFEAE6C" w:rsidR="002B57B3" w:rsidRDefault="002B57B3" w:rsidP="002B57B3">
      <w:pPr>
        <w:pStyle w:val="TableFigure"/>
      </w:pPr>
    </w:p>
    <w:sectPr w:rsidR="002B57B3">
      <w:headerReference w:type="default" r:id="rId10"/>
      <w:headerReference w:type="first" r:id="rId11"/>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06EF8C" w14:textId="77777777" w:rsidR="004C4212" w:rsidRDefault="004C4212">
      <w:r>
        <w:separator/>
      </w:r>
    </w:p>
  </w:endnote>
  <w:endnote w:type="continuationSeparator" w:id="0">
    <w:p w14:paraId="79AEDCA1" w14:textId="77777777" w:rsidR="004C4212" w:rsidRDefault="004C4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egoe UI">
    <w:charset w:val="00"/>
    <w:family w:val="auto"/>
    <w:pitch w:val="variable"/>
    <w:sig w:usb0="8000006F" w:usb1="1200FBEF" w:usb2="0004C000" w:usb3="00000000" w:csb0="00000001"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BE011D" w14:textId="77777777" w:rsidR="004C4212" w:rsidRDefault="004C4212">
      <w:r>
        <w:separator/>
      </w:r>
    </w:p>
  </w:footnote>
  <w:footnote w:type="continuationSeparator" w:id="0">
    <w:p w14:paraId="45A297B3" w14:textId="77777777" w:rsidR="004C4212" w:rsidRDefault="004C421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C344C" w14:textId="7EE21CB7" w:rsidR="00443F4F" w:rsidRDefault="00443F4F">
    <w:pPr>
      <w:pStyle w:val="Header"/>
    </w:pPr>
    <w:sdt>
      <w:sdtPr>
        <w:rPr>
          <w:rStyle w:val="Strong"/>
        </w:rPr>
        <w:alias w:val="Running head"/>
        <w:tag w:val=""/>
        <w:id w:val="12739865"/>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68224E">
          <w:rPr>
            <w:rStyle w:val="Strong"/>
          </w:rPr>
          <w:t>Further details of EFCAMDAT</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16069B">
      <w:rPr>
        <w:rStyle w:val="Strong"/>
        <w:noProof/>
      </w:rPr>
      <w:t>2</w:t>
    </w:r>
    <w:r>
      <w:rPr>
        <w:rStyle w:val="Strong"/>
        <w:noProof/>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E1F096" w14:textId="555EC01B" w:rsidR="00443F4F" w:rsidRDefault="00443F4F">
    <w:pPr>
      <w:pStyle w:val="Header"/>
      <w:rPr>
        <w:rStyle w:val="Strong"/>
      </w:rPr>
    </w:pPr>
    <w:r>
      <w:t xml:space="preserve">Running head: </w:t>
    </w:r>
    <w:sdt>
      <w:sdtPr>
        <w:rPr>
          <w:rStyle w:val="Strong"/>
        </w:rPr>
        <w:alias w:val="Running head"/>
        <w:tag w:val=""/>
        <w:id w:val="-696842620"/>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sidR="00312748">
          <w:rPr>
            <w:rStyle w:val="Strong"/>
          </w:rPr>
          <w:t xml:space="preserve">Further details of </w:t>
        </w:r>
        <w:r w:rsidR="0068224E">
          <w:rPr>
            <w:rStyle w:val="Strong"/>
          </w:rPr>
          <w:t>EFCAMDAT</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16069B">
      <w:rPr>
        <w:rStyle w:val="Strong"/>
        <w:noProof/>
      </w:rPr>
      <w:t>1</w:t>
    </w:r>
    <w:r>
      <w:rPr>
        <w:rStyle w:val="Strong"/>
        <w:noProof/>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nsid w:val="22CE7172"/>
    <w:multiLevelType w:val="hybridMultilevel"/>
    <w:tmpl w:val="D4F8C2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D362A04"/>
    <w:multiLevelType w:val="hybridMultilevel"/>
    <w:tmpl w:val="D5301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406B7"/>
    <w:multiLevelType w:val="hybridMultilevel"/>
    <w:tmpl w:val="1778AEC6"/>
    <w:lvl w:ilvl="0" w:tplc="E0FCA0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0AD29BD"/>
    <w:multiLevelType w:val="hybridMultilevel"/>
    <w:tmpl w:val="EB188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9C458F"/>
    <w:multiLevelType w:val="hybridMultilevel"/>
    <w:tmpl w:val="97ECBB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4"/>
  </w:num>
  <w:num w:numId="13">
    <w:abstractNumId w:val="11"/>
  </w:num>
  <w:num w:numId="14">
    <w:abstractNumId w:val="13"/>
  </w:num>
  <w:num w:numId="15">
    <w:abstractNumId w:val="1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7FD"/>
    <w:rsid w:val="000E7E17"/>
    <w:rsid w:val="000F3261"/>
    <w:rsid w:val="000F4F17"/>
    <w:rsid w:val="0016069B"/>
    <w:rsid w:val="001D67D4"/>
    <w:rsid w:val="001F6E79"/>
    <w:rsid w:val="00224230"/>
    <w:rsid w:val="00241C5B"/>
    <w:rsid w:val="00247E89"/>
    <w:rsid w:val="00284709"/>
    <w:rsid w:val="002B57B3"/>
    <w:rsid w:val="002D7B45"/>
    <w:rsid w:val="002F29C1"/>
    <w:rsid w:val="00300118"/>
    <w:rsid w:val="00312748"/>
    <w:rsid w:val="00337858"/>
    <w:rsid w:val="0034775B"/>
    <w:rsid w:val="00353E18"/>
    <w:rsid w:val="003A04DE"/>
    <w:rsid w:val="003A060C"/>
    <w:rsid w:val="003E228E"/>
    <w:rsid w:val="00436DC2"/>
    <w:rsid w:val="00443F4F"/>
    <w:rsid w:val="00460544"/>
    <w:rsid w:val="00493B5B"/>
    <w:rsid w:val="004C4212"/>
    <w:rsid w:val="004D24EC"/>
    <w:rsid w:val="004F1426"/>
    <w:rsid w:val="004F327B"/>
    <w:rsid w:val="004F53AC"/>
    <w:rsid w:val="005161C5"/>
    <w:rsid w:val="00525E97"/>
    <w:rsid w:val="005528F9"/>
    <w:rsid w:val="005714AE"/>
    <w:rsid w:val="0057786D"/>
    <w:rsid w:val="005A340B"/>
    <w:rsid w:val="005B7395"/>
    <w:rsid w:val="005B7725"/>
    <w:rsid w:val="005C701A"/>
    <w:rsid w:val="005F7760"/>
    <w:rsid w:val="006374B5"/>
    <w:rsid w:val="0068224E"/>
    <w:rsid w:val="006B430F"/>
    <w:rsid w:val="007B25C6"/>
    <w:rsid w:val="007B495A"/>
    <w:rsid w:val="007C379F"/>
    <w:rsid w:val="007E426D"/>
    <w:rsid w:val="008219EB"/>
    <w:rsid w:val="00850FCE"/>
    <w:rsid w:val="008666DE"/>
    <w:rsid w:val="0088417C"/>
    <w:rsid w:val="008B2182"/>
    <w:rsid w:val="0093741D"/>
    <w:rsid w:val="00943F03"/>
    <w:rsid w:val="00952CA8"/>
    <w:rsid w:val="009907FD"/>
    <w:rsid w:val="00996B41"/>
    <w:rsid w:val="009D69BF"/>
    <w:rsid w:val="00A00EAF"/>
    <w:rsid w:val="00A0103C"/>
    <w:rsid w:val="00A47058"/>
    <w:rsid w:val="00A74792"/>
    <w:rsid w:val="00A80DCA"/>
    <w:rsid w:val="00A82F4F"/>
    <w:rsid w:val="00AF5976"/>
    <w:rsid w:val="00B174D1"/>
    <w:rsid w:val="00B2637B"/>
    <w:rsid w:val="00C17407"/>
    <w:rsid w:val="00C96114"/>
    <w:rsid w:val="00D215AF"/>
    <w:rsid w:val="00D74CF6"/>
    <w:rsid w:val="00E20E4A"/>
    <w:rsid w:val="00E6084A"/>
    <w:rsid w:val="00E63E6E"/>
    <w:rsid w:val="00E850EF"/>
    <w:rsid w:val="00EC452A"/>
    <w:rsid w:val="00EC776D"/>
    <w:rsid w:val="00ED7E0F"/>
    <w:rsid w:val="00EE37C3"/>
    <w:rsid w:val="00EE6B9F"/>
    <w:rsid w:val="00EF3F6E"/>
    <w:rsid w:val="00FD66D2"/>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CA5C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61C5"/>
    <w:rPr>
      <w:kern w:val="24"/>
    </w:rPr>
  </w:style>
  <w:style w:type="paragraph" w:styleId="Heading1">
    <w:name w:val="heading 1"/>
    <w:basedOn w:val="Normal"/>
    <w:next w:val="Normal"/>
    <w:link w:val="Heading1Char"/>
    <w:uiPriority w:val="3"/>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1"/>
    <w:qFormat/>
    <w:pPr>
      <w:ind w:firstLine="0"/>
    </w:pPr>
  </w:style>
  <w:style w:type="character" w:customStyle="1" w:styleId="Heading1Char">
    <w:name w:val="Heading 1 Char"/>
    <w:basedOn w:val="DefaultParagraphFont"/>
    <w:link w:val="Heading1"/>
    <w:uiPriority w:val="3"/>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0"/>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Light">
    <w:name w:val="Grid Table Light"/>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0"/>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character" w:styleId="Hyperlink">
    <w:name w:val="Hyperlink"/>
    <w:basedOn w:val="DefaultParagraphFont"/>
    <w:uiPriority w:val="99"/>
    <w:unhideWhenUsed/>
    <w:rsid w:val="00C17407"/>
    <w:rPr>
      <w:color w:val="5F5F5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254170113">
      <w:bodyDiv w:val="1"/>
      <w:marLeft w:val="0"/>
      <w:marRight w:val="0"/>
      <w:marTop w:val="0"/>
      <w:marBottom w:val="0"/>
      <w:divBdr>
        <w:top w:val="none" w:sz="0" w:space="0" w:color="auto"/>
        <w:left w:val="none" w:sz="0" w:space="0" w:color="auto"/>
        <w:bottom w:val="none" w:sz="0" w:space="0" w:color="auto"/>
        <w:right w:val="none" w:sz="0" w:space="0" w:color="auto"/>
      </w:divBdr>
    </w:div>
    <w:div w:id="303510524">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3430364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01941759">
      <w:bodyDiv w:val="1"/>
      <w:marLeft w:val="0"/>
      <w:marRight w:val="0"/>
      <w:marTop w:val="0"/>
      <w:marBottom w:val="0"/>
      <w:divBdr>
        <w:top w:val="none" w:sz="0" w:space="0" w:color="auto"/>
        <w:left w:val="none" w:sz="0" w:space="0" w:color="auto"/>
        <w:bottom w:val="none" w:sz="0" w:space="0" w:color="auto"/>
        <w:right w:val="none" w:sz="0" w:space="0" w:color="auto"/>
      </w:divBdr>
    </w:div>
    <w:div w:id="652954018">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7170972">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765922612">
      <w:bodyDiv w:val="1"/>
      <w:marLeft w:val="0"/>
      <w:marRight w:val="0"/>
      <w:marTop w:val="0"/>
      <w:marBottom w:val="0"/>
      <w:divBdr>
        <w:top w:val="none" w:sz="0" w:space="0" w:color="auto"/>
        <w:left w:val="none" w:sz="0" w:space="0" w:color="auto"/>
        <w:bottom w:val="none" w:sz="0" w:space="0" w:color="auto"/>
        <w:right w:val="none" w:sz="0" w:space="0" w:color="auto"/>
      </w:divBdr>
    </w:div>
    <w:div w:id="885067996">
      <w:bodyDiv w:val="1"/>
      <w:marLeft w:val="0"/>
      <w:marRight w:val="0"/>
      <w:marTop w:val="0"/>
      <w:marBottom w:val="0"/>
      <w:divBdr>
        <w:top w:val="none" w:sz="0" w:space="0" w:color="auto"/>
        <w:left w:val="none" w:sz="0" w:space="0" w:color="auto"/>
        <w:bottom w:val="none" w:sz="0" w:space="0" w:color="auto"/>
        <w:right w:val="none" w:sz="0" w:space="0" w:color="auto"/>
      </w:divBdr>
    </w:div>
    <w:div w:id="941691474">
      <w:bodyDiv w:val="1"/>
      <w:marLeft w:val="0"/>
      <w:marRight w:val="0"/>
      <w:marTop w:val="0"/>
      <w:marBottom w:val="0"/>
      <w:divBdr>
        <w:top w:val="none" w:sz="0" w:space="0" w:color="auto"/>
        <w:left w:val="none" w:sz="0" w:space="0" w:color="auto"/>
        <w:bottom w:val="none" w:sz="0" w:space="0" w:color="auto"/>
        <w:right w:val="none" w:sz="0" w:space="0" w:color="auto"/>
      </w:divBdr>
    </w:div>
    <w:div w:id="963734383">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68772855">
      <w:bodyDiv w:val="1"/>
      <w:marLeft w:val="0"/>
      <w:marRight w:val="0"/>
      <w:marTop w:val="0"/>
      <w:marBottom w:val="0"/>
      <w:divBdr>
        <w:top w:val="none" w:sz="0" w:space="0" w:color="auto"/>
        <w:left w:val="none" w:sz="0" w:space="0" w:color="auto"/>
        <w:bottom w:val="none" w:sz="0" w:space="0" w:color="auto"/>
        <w:right w:val="none" w:sz="0" w:space="0" w:color="auto"/>
      </w:divBdr>
    </w:div>
    <w:div w:id="1082458676">
      <w:bodyDiv w:val="1"/>
      <w:marLeft w:val="0"/>
      <w:marRight w:val="0"/>
      <w:marTop w:val="0"/>
      <w:marBottom w:val="0"/>
      <w:divBdr>
        <w:top w:val="none" w:sz="0" w:space="0" w:color="auto"/>
        <w:left w:val="none" w:sz="0" w:space="0" w:color="auto"/>
        <w:bottom w:val="none" w:sz="0" w:space="0" w:color="auto"/>
        <w:right w:val="none" w:sz="0" w:space="0" w:color="auto"/>
      </w:divBdr>
    </w:div>
    <w:div w:id="1105231020">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43682373">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51245791">
      <w:bodyDiv w:val="1"/>
      <w:marLeft w:val="0"/>
      <w:marRight w:val="0"/>
      <w:marTop w:val="0"/>
      <w:marBottom w:val="0"/>
      <w:divBdr>
        <w:top w:val="none" w:sz="0" w:space="0" w:color="auto"/>
        <w:left w:val="none" w:sz="0" w:space="0" w:color="auto"/>
        <w:bottom w:val="none" w:sz="0" w:space="0" w:color="auto"/>
        <w:right w:val="none" w:sz="0" w:space="0" w:color="auto"/>
      </w:divBdr>
    </w:div>
    <w:div w:id="1469929422">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592007794">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77181994">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rkm-a/Dropbox/CambridgePostDoc/TaskEffect/APAforma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979F8E268CE154AAA2E644001617BED"/>
        <w:category>
          <w:name w:val="General"/>
          <w:gallery w:val="placeholder"/>
        </w:category>
        <w:types>
          <w:type w:val="bbPlcHdr"/>
        </w:types>
        <w:behaviors>
          <w:behavior w:val="content"/>
        </w:behaviors>
        <w:guid w:val="{E9438A23-A0FA-7D40-A6FF-7255A628B1DD}"/>
      </w:docPartPr>
      <w:docPartBody>
        <w:p w:rsidR="0091469E" w:rsidRDefault="00E14A2E">
          <w:pPr>
            <w:pStyle w:val="7979F8E268CE154AAA2E644001617BED"/>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egoe UI">
    <w:charset w:val="00"/>
    <w:family w:val="auto"/>
    <w:pitch w:val="variable"/>
    <w:sig w:usb0="8000006F" w:usb1="1200FBEF" w:usb2="0004C000" w:usb3="00000000" w:csb0="00000001"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Yu Mincho">
    <w:panose1 w:val="02020400000000000000"/>
    <w:charset w:val="80"/>
    <w:family w:val="auto"/>
    <w:pitch w:val="variable"/>
    <w:sig w:usb0="800002E7" w:usb1="2AC7FCFF" w:usb2="00000012" w:usb3="00000000" w:csb0="0002009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A2E"/>
    <w:rsid w:val="0091469E"/>
    <w:rsid w:val="00E14A2E"/>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next w:val="Normal"/>
    <w:link w:val="Heading3Char"/>
    <w:uiPriority w:val="3"/>
    <w:unhideWhenUsed/>
    <w:qFormat/>
    <w:pPr>
      <w:keepNext/>
      <w:keepLines/>
      <w:spacing w:line="480" w:lineRule="auto"/>
      <w:ind w:firstLine="720"/>
      <w:outlineLvl w:val="2"/>
    </w:pPr>
    <w:rPr>
      <w:rFonts w:asciiTheme="majorHAnsi" w:eastAsiaTheme="majorEastAsia" w:hAnsiTheme="majorHAnsi" w:cstheme="majorBidi"/>
      <w:b/>
      <w:bCs/>
      <w:kern w:val="24"/>
      <w:lang w:eastAsia="en-US"/>
    </w:rPr>
  </w:style>
  <w:style w:type="paragraph" w:styleId="Heading4">
    <w:name w:val="heading 4"/>
    <w:basedOn w:val="Normal"/>
    <w:next w:val="Normal"/>
    <w:link w:val="Heading4Char"/>
    <w:uiPriority w:val="3"/>
    <w:unhideWhenUsed/>
    <w:qFormat/>
    <w:pPr>
      <w:keepNext/>
      <w:keepLines/>
      <w:spacing w:line="480" w:lineRule="auto"/>
      <w:ind w:firstLine="720"/>
      <w:outlineLvl w:val="3"/>
    </w:pPr>
    <w:rPr>
      <w:rFonts w:asciiTheme="majorHAnsi" w:eastAsiaTheme="majorEastAsia" w:hAnsiTheme="majorHAnsi" w:cstheme="majorBidi"/>
      <w:b/>
      <w:bCs/>
      <w:i/>
      <w:iCs/>
      <w:kern w:val="24"/>
      <w:lang w:eastAsia="en-US"/>
    </w:rPr>
  </w:style>
  <w:style w:type="paragraph" w:styleId="Heading5">
    <w:name w:val="heading 5"/>
    <w:basedOn w:val="Normal"/>
    <w:next w:val="Normal"/>
    <w:link w:val="Heading5Char"/>
    <w:uiPriority w:val="3"/>
    <w:unhideWhenUsed/>
    <w:qFormat/>
    <w:pPr>
      <w:keepNext/>
      <w:keepLines/>
      <w:spacing w:line="480" w:lineRule="auto"/>
      <w:ind w:firstLine="720"/>
      <w:outlineLvl w:val="4"/>
    </w:pPr>
    <w:rPr>
      <w:rFonts w:asciiTheme="majorHAnsi" w:eastAsiaTheme="majorEastAsia" w:hAnsiTheme="majorHAnsi" w:cstheme="majorBidi"/>
      <w:i/>
      <w:iCs/>
      <w:kern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979F8E268CE154AAA2E644001617BED">
    <w:name w:val="7979F8E268CE154AAA2E644001617BED"/>
  </w:style>
  <w:style w:type="paragraph" w:customStyle="1" w:styleId="63370632CA0BC94ABD46DD8C4B82E6A1">
    <w:name w:val="63370632CA0BC94ABD46DD8C4B82E6A1"/>
  </w:style>
  <w:style w:type="paragraph" w:customStyle="1" w:styleId="1B018043A9BF56459901DA80F1334B41">
    <w:name w:val="1B018043A9BF56459901DA80F1334B41"/>
  </w:style>
  <w:style w:type="paragraph" w:customStyle="1" w:styleId="2C1C868092757640AFAD49F32E364381">
    <w:name w:val="2C1C868092757640AFAD49F32E364381"/>
  </w:style>
  <w:style w:type="character" w:styleId="Emphasis">
    <w:name w:val="Emphasis"/>
    <w:basedOn w:val="DefaultParagraphFont"/>
    <w:uiPriority w:val="20"/>
    <w:unhideWhenUsed/>
    <w:qFormat/>
    <w:rsid w:val="0091469E"/>
    <w:rPr>
      <w:i/>
      <w:iCs/>
    </w:rPr>
  </w:style>
  <w:style w:type="paragraph" w:customStyle="1" w:styleId="3A4602701D039D4093A03C4A2AAC14EA">
    <w:name w:val="3A4602701D039D4093A03C4A2AAC14EA"/>
  </w:style>
  <w:style w:type="paragraph" w:customStyle="1" w:styleId="7D8851A2AA6DDB4FBDD821EB03306E9F">
    <w:name w:val="7D8851A2AA6DDB4FBDD821EB03306E9F"/>
  </w:style>
  <w:style w:type="paragraph" w:customStyle="1" w:styleId="FA9E939DD0EA9142841BFEE5A9B710D4">
    <w:name w:val="FA9E939DD0EA9142841BFEE5A9B710D4"/>
  </w:style>
  <w:style w:type="paragraph" w:customStyle="1" w:styleId="E82DD6C4C15E6342AEEFBAC5CE7997C3">
    <w:name w:val="E82DD6C4C15E6342AEEFBAC5CE7997C3"/>
  </w:style>
  <w:style w:type="paragraph" w:customStyle="1" w:styleId="70EE4102E507674E961BE3CC56D99382">
    <w:name w:val="70EE4102E507674E961BE3CC56D99382"/>
  </w:style>
  <w:style w:type="paragraph" w:customStyle="1" w:styleId="E135F6BE624ED944A5B8C5AE3B2D2040">
    <w:name w:val="E135F6BE624ED944A5B8C5AE3B2D2040"/>
  </w:style>
  <w:style w:type="paragraph" w:customStyle="1" w:styleId="15BDA2EFD55A564D83362C2E7A086A4C">
    <w:name w:val="15BDA2EFD55A564D83362C2E7A086A4C"/>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lang w:eastAsia="en-US"/>
    </w:rPr>
  </w:style>
  <w:style w:type="paragraph" w:customStyle="1" w:styleId="0E99E1C1E5285A48887A6A3D1D4F1196">
    <w:name w:val="0E99E1C1E5285A48887A6A3D1D4F1196"/>
  </w:style>
  <w:style w:type="paragraph" w:customStyle="1" w:styleId="88B874D9F0D9D844B656E1A9916234B0">
    <w:name w:val="88B874D9F0D9D844B656E1A9916234B0"/>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lang w:eastAsia="en-US"/>
    </w:rPr>
  </w:style>
  <w:style w:type="paragraph" w:customStyle="1" w:styleId="E8AD4C9B93D4C74BBECD318753DB97E8">
    <w:name w:val="E8AD4C9B93D4C74BBECD318753DB97E8"/>
  </w:style>
  <w:style w:type="paragraph" w:customStyle="1" w:styleId="90BD9F88B119AB4F8FDF06A40FF8320C">
    <w:name w:val="90BD9F88B119AB4F8FDF06A40FF8320C"/>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lang w:eastAsia="en-US"/>
    </w:rPr>
  </w:style>
  <w:style w:type="paragraph" w:customStyle="1" w:styleId="6E135554DA43794B8A44BF2C62333E11">
    <w:name w:val="6E135554DA43794B8A44BF2C62333E11"/>
  </w:style>
  <w:style w:type="paragraph" w:customStyle="1" w:styleId="374610DE8E225849A5846C79A47BE396">
    <w:name w:val="374610DE8E225849A5846C79A47BE396"/>
  </w:style>
  <w:style w:type="paragraph" w:customStyle="1" w:styleId="58420C8F9433CC4597BA0AA61383532D">
    <w:name w:val="58420C8F9433CC4597BA0AA61383532D"/>
  </w:style>
  <w:style w:type="paragraph" w:customStyle="1" w:styleId="21697C7DE82C0E44854CA311CA7F7FCE">
    <w:name w:val="21697C7DE82C0E44854CA311CA7F7FCE"/>
  </w:style>
  <w:style w:type="paragraph" w:customStyle="1" w:styleId="4F64FC5FFA84254AA970F1E5BFB1E353">
    <w:name w:val="4F64FC5FFA84254AA970F1E5BFB1E353"/>
  </w:style>
  <w:style w:type="paragraph" w:customStyle="1" w:styleId="2D86BE759C90824B97C6461607EAE41B">
    <w:name w:val="2D86BE759C90824B97C6461607EAE41B"/>
  </w:style>
  <w:style w:type="paragraph" w:customStyle="1" w:styleId="86E6285385593042B1B16EA5A4D671AC">
    <w:name w:val="86E6285385593042B1B16EA5A4D671AC"/>
    <w:rsid w:val="009146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Further details of EFCAMDAT</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49F074-30BA-4C9C-B9EE-E13520AAFA01}">
  <ds:schemaRefs>
    <ds:schemaRef ds:uri="http://schemas.microsoft.com/sharepoint/v3/contenttype/forms"/>
  </ds:schemaRefs>
</ds:datastoreItem>
</file>

<file path=customXml/itemProps3.xml><?xml version="1.0" encoding="utf-8"?>
<ds:datastoreItem xmlns:ds="http://schemas.openxmlformats.org/officeDocument/2006/customXml" ds:itemID="{FB3AF096-7E31-DD4C-ADB5-5EA7AA715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APAformat.dotx</Template>
  <TotalTime>14</TotalTime>
  <Pages>8</Pages>
  <Words>1073</Words>
  <Characters>6120</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Task effects on linguistic complexity and accuracy: A large-scale learner corpus analysis employing Natural Language Processing techniques.</vt:lpstr>
    </vt:vector>
  </TitlesOfParts>
  <Company/>
  <LinksUpToDate>false</LinksUpToDate>
  <CharactersWithSpaces>7179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Further details of EFCAMDAT</dc:title>
  <dc:subject/>
  <dc:creator>K B</dc:creator>
  <cp:keywords/>
  <dc:description/>
  <cp:lastModifiedBy>K B</cp:lastModifiedBy>
  <cp:revision>16</cp:revision>
  <dcterms:created xsi:type="dcterms:W3CDTF">2016-12-14T21:59:00Z</dcterms:created>
  <dcterms:modified xsi:type="dcterms:W3CDTF">2016-12-14T23:01:00Z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TC039823519991</vt:lpwstr>
  </property>
</Properties>
</file>