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9B6" w:rsidRPr="008D3879" w:rsidRDefault="004579B6">
      <w:pPr>
        <w:rPr>
          <w:rFonts w:asciiTheme="majorHAnsi" w:hAnsiTheme="majorHAnsi"/>
        </w:rPr>
      </w:pPr>
    </w:p>
    <w:p w:rsidR="008D3879" w:rsidRPr="008D3879" w:rsidRDefault="004579B6" w:rsidP="004579B6">
      <w:pPr>
        <w:rPr>
          <w:rFonts w:asciiTheme="majorHAnsi" w:hAnsiTheme="majorHAnsi"/>
          <w:b/>
          <w:lang w:val="en-GB"/>
        </w:rPr>
      </w:pPr>
      <w:proofErr w:type="gramStart"/>
      <w:r w:rsidRPr="008D3879">
        <w:rPr>
          <w:rFonts w:asciiTheme="majorHAnsi" w:hAnsiTheme="majorHAnsi"/>
          <w:b/>
          <w:lang w:val="en-GB"/>
        </w:rPr>
        <w:t>Figure 1</w:t>
      </w:r>
      <w:r w:rsidR="008D3879" w:rsidRPr="008D3879">
        <w:rPr>
          <w:rFonts w:asciiTheme="majorHAnsi" w:hAnsiTheme="majorHAnsi"/>
          <w:b/>
          <w:lang w:val="en-GB"/>
        </w:rPr>
        <w:t>.</w:t>
      </w:r>
      <w:proofErr w:type="gramEnd"/>
      <w:r w:rsidR="008D3879" w:rsidRPr="008D3879">
        <w:rPr>
          <w:rFonts w:asciiTheme="majorHAnsi" w:hAnsiTheme="majorHAnsi"/>
          <w:b/>
          <w:lang w:val="en-GB"/>
        </w:rPr>
        <w:t xml:space="preserve"> </w:t>
      </w:r>
      <w:proofErr w:type="gramStart"/>
      <w:r w:rsidR="008D3879" w:rsidRPr="008D3879">
        <w:rPr>
          <w:rFonts w:asciiTheme="majorHAnsi" w:hAnsiTheme="majorHAnsi"/>
          <w:b/>
          <w:lang w:val="en-GB"/>
        </w:rPr>
        <w:t>Labour and PEP trends for</w:t>
      </w:r>
      <w:r w:rsidRPr="008D3879">
        <w:rPr>
          <w:rFonts w:asciiTheme="majorHAnsi" w:hAnsiTheme="majorHAnsi"/>
          <w:b/>
          <w:lang w:val="en-GB"/>
        </w:rPr>
        <w:t xml:space="preserve"> </w:t>
      </w:r>
      <w:proofErr w:type="spellStart"/>
      <w:r w:rsidRPr="008D3879">
        <w:rPr>
          <w:rFonts w:asciiTheme="majorHAnsi" w:hAnsiTheme="majorHAnsi"/>
          <w:b/>
          <w:lang w:val="en-GB"/>
        </w:rPr>
        <w:t>Freshfields</w:t>
      </w:r>
      <w:proofErr w:type="spellEnd"/>
      <w:r w:rsidRPr="008D3879">
        <w:rPr>
          <w:rFonts w:asciiTheme="majorHAnsi" w:hAnsiTheme="majorHAnsi"/>
          <w:b/>
          <w:lang w:val="en-GB"/>
        </w:rPr>
        <w:t xml:space="preserve"> </w:t>
      </w:r>
      <w:r w:rsidR="008D3879" w:rsidRPr="008D3879">
        <w:rPr>
          <w:rFonts w:asciiTheme="majorHAnsi" w:hAnsiTheme="majorHAnsi"/>
          <w:b/>
          <w:lang w:val="en-GB"/>
        </w:rPr>
        <w:t>Bruckhaus Derringer, 1993-2008.</w:t>
      </w:r>
      <w:proofErr w:type="gramEnd"/>
    </w:p>
    <w:p w:rsidR="008D3879" w:rsidRPr="008D3879" w:rsidRDefault="008D3879" w:rsidP="004579B6">
      <w:pPr>
        <w:rPr>
          <w:rFonts w:asciiTheme="majorHAnsi" w:hAnsiTheme="majorHAnsi"/>
          <w:lang w:val="en-GB"/>
        </w:rPr>
      </w:pPr>
      <w:r w:rsidRPr="008D3879">
        <w:rPr>
          <w:rFonts w:asciiTheme="majorHAnsi" w:hAnsiTheme="majorHAnsi"/>
          <w:lang w:val="en-GB"/>
        </w:rPr>
        <w:t>Source: Legal Business (2008)</w:t>
      </w:r>
    </w:p>
    <w:p w:rsidR="004579B6" w:rsidRPr="008D3879" w:rsidRDefault="008D3879" w:rsidP="004579B6">
      <w:pPr>
        <w:rPr>
          <w:rFonts w:asciiTheme="majorHAnsi" w:hAnsiTheme="majorHAnsi"/>
          <w:lang w:val="en-GB"/>
        </w:rPr>
      </w:pPr>
      <w:r w:rsidRPr="008D3879">
        <w:rPr>
          <w:rFonts w:asciiTheme="majorHAnsi" w:hAnsiTheme="majorHAnsi"/>
          <w:lang w:val="en-GB"/>
        </w:rPr>
        <w:t xml:space="preserve">PEP figures </w:t>
      </w:r>
      <w:r w:rsidRPr="008D3879">
        <w:rPr>
          <w:rFonts w:asciiTheme="majorHAnsi" w:hAnsiTheme="majorHAnsi"/>
        </w:rPr>
        <w:t>adjusted to 2008 prices throughout the period based on Consumer Price Index</w:t>
      </w:r>
      <w:r w:rsidR="004579B6" w:rsidRPr="008D3879">
        <w:rPr>
          <w:rFonts w:asciiTheme="majorHAnsi" w:hAnsiTheme="majorHAnsi"/>
          <w:lang w:val="en-GB"/>
        </w:rPr>
        <w:t xml:space="preserve"> </w:t>
      </w:r>
    </w:p>
    <w:p w:rsidR="004D59C9" w:rsidRDefault="004D59C9"/>
    <w:p w:rsidR="004579B6" w:rsidRDefault="004579B6"/>
    <w:p w:rsidR="004579B6" w:rsidRDefault="004579B6"/>
    <w:p w:rsidR="004579B6" w:rsidRDefault="002A3A8C">
      <w:r w:rsidRPr="002A3A8C">
        <w:drawing>
          <wp:inline distT="0" distB="0" distL="0" distR="0">
            <wp:extent cx="5753100" cy="3209925"/>
            <wp:effectExtent l="19050" t="0" r="0" b="0"/>
            <wp:docPr id="3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763000" cy="4219575"/>
                      <a:chOff x="0" y="0"/>
                      <a:chExt cx="8763000" cy="4219575"/>
                    </a:xfrm>
                  </a:grpSpPr>
                  <a:graphicFrame>
                    <a:nvGraphicFramePr>
                      <a:cNvPr id="11272" name="Chart 8"/>
                      <a:cNvGraphicFramePr>
                        <a:graphicFrameLocks/>
                      </a:cNvGraphicFramePr>
                    </a:nvGraphicFramePr>
                    <a:graphic>
                      <a:graphicData uri="http://schemas.openxmlformats.org/drawingml/2006/chart">
                        <c:chart xmlns:c="http://schemas.openxmlformats.org/drawingml/2006/chart" xmlns:r="http://schemas.openxmlformats.org/officeDocument/2006/relationships" r:id="rId5"/>
                      </a:graphicData>
                    </a:graphic>
                    <a:xfrm>
                      <a:off x="1828800" y="0"/>
                      <a:ext cx="6419850" cy="4219575"/>
                    </a:xfrm>
                  </a:graphicFrame>
                  <a:sp>
                    <a:nvSpPr>
                      <a:cNvPr id="3" name="TextBox 2"/>
                      <a:cNvSpPr txBox="1"/>
                    </a:nvSpPr>
                    <a:spPr>
                      <a:xfrm>
                        <a:off x="7848600" y="1647825"/>
                        <a:ext cx="914400" cy="4000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9525" cmpd="sng">
                        <a:solidFill>
                          <a:schemeClr val="lt1">
                            <a:shade val="50000"/>
                          </a:schemeClr>
                        </a:solidFill>
                      </a:ln>
                      <a:scene3d>
                        <a:camera prst="orthographicFront">
                          <a:rot lat="21299999" lon="600000" rev="16200000"/>
                        </a:camera>
                        <a:lightRig rig="threePt" dir="t"/>
                      </a:scene3d>
                    </a:spPr>
                    <a:txSp>
                      <a:txBody>
                        <a:bodyPr wrap="square" rtlCol="0" anchor="t"/>
                        <a:lstStyle>
                          <a:lvl1pPr marL="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1100"/>
                            <a:t>Associates</a:t>
                          </a: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" name="TextBox 3"/>
                      <a:cNvSpPr txBox="1"/>
                    </a:nvSpPr>
                    <a:spPr>
                      <a:xfrm>
                        <a:off x="0" y="714375"/>
                        <a:ext cx="2124075" cy="14763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9525" cmpd="sng">
                        <a:solidFill>
                          <a:schemeClr val="lt1">
                            <a:shade val="50000"/>
                          </a:schemeClr>
                        </a:solidFill>
                      </a:ln>
                      <a:scene3d>
                        <a:camera prst="orthographicFront">
                          <a:rot lat="0" lon="0" rev="16200000"/>
                        </a:camera>
                        <a:lightRig rig="threePt" dir="t"/>
                      </a:scene3d>
                    </a:spPr>
                    <a:txSp>
                      <a:txBody>
                        <a:bodyPr wrap="square" rtlCol="0" anchor="t"/>
                        <a:lstStyle>
                          <a:lvl1pPr marL="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1100"/>
                            <a:t>Number of Salaried and equity  partners;</a:t>
                          </a:r>
                          <a:r>
                            <a:rPr lang="en-US" sz="1100" baseline="0"/>
                            <a:t> PEP (£s)</a:t>
                          </a:r>
                          <a:r>
                            <a:rPr lang="en-US" sz="1100"/>
                            <a:t> </a:t>
                          </a: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4579B6" w:rsidRDefault="004579B6"/>
    <w:p w:rsidR="004579B6" w:rsidRDefault="004579B6"/>
    <w:p w:rsidR="004579B6" w:rsidRDefault="004579B6"/>
    <w:sectPr w:rsidR="004579B6" w:rsidSect="004D59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79B6"/>
    <w:rsid w:val="002A3A8C"/>
    <w:rsid w:val="00413002"/>
    <w:rsid w:val="004579B6"/>
    <w:rsid w:val="004D59C9"/>
    <w:rsid w:val="007379E3"/>
    <w:rsid w:val="008D3879"/>
    <w:rsid w:val="00BD6844"/>
    <w:rsid w:val="00D64AFF"/>
    <w:rsid w:val="00F75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9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9B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579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79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79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9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79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Documents%20and%20Settings\faulconb\Local%20Settings\Temporary%20Internet%20Files\Content.Outlook\IM9VFLT9\legal%20business%20database%20-%20edited%20for%20JEG%20paper%20and%20converted%20to%20inflation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plotArea>
      <c:layout>
        <c:manualLayout>
          <c:layoutTarget val="inner"/>
          <c:xMode val="edge"/>
          <c:yMode val="edge"/>
          <c:x val="8.1602373887240412E-2"/>
          <c:y val="5.8690744920993278E-2"/>
          <c:w val="0.8486646884272997"/>
          <c:h val="0.74266365688487657"/>
        </c:manualLayout>
      </c:layout>
      <c:lineChart>
        <c:grouping val="standard"/>
        <c:ser>
          <c:idx val="3"/>
          <c:order val="3"/>
          <c:tx>
            <c:v>Salaried Partners</c:v>
          </c:tx>
          <c:spPr>
            <a:ln w="12700">
              <a:solidFill>
                <a:srgbClr val="000000"/>
              </a:solidFill>
              <a:prstDash val="lgDashDotDot"/>
            </a:ln>
          </c:spPr>
          <c:marker>
            <c:symbol val="circ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'FF case study'!$A$6:$A$21</c:f>
              <c:numCache>
                <c:formatCode>General</c:formatCode>
                <c:ptCount val="16"/>
                <c:pt idx="0">
                  <c:v>2008</c:v>
                </c:pt>
                <c:pt idx="1">
                  <c:v>2007</c:v>
                </c:pt>
                <c:pt idx="2">
                  <c:v>2006</c:v>
                </c:pt>
                <c:pt idx="3">
                  <c:v>2005</c:v>
                </c:pt>
                <c:pt idx="4">
                  <c:v>2004</c:v>
                </c:pt>
                <c:pt idx="5">
                  <c:v>2003</c:v>
                </c:pt>
                <c:pt idx="6">
                  <c:v>2002</c:v>
                </c:pt>
                <c:pt idx="7">
                  <c:v>2001</c:v>
                </c:pt>
                <c:pt idx="8">
                  <c:v>2000</c:v>
                </c:pt>
                <c:pt idx="9">
                  <c:v>1999</c:v>
                </c:pt>
                <c:pt idx="10">
                  <c:v>1998</c:v>
                </c:pt>
                <c:pt idx="11">
                  <c:v>1997</c:v>
                </c:pt>
                <c:pt idx="12">
                  <c:v>1996</c:v>
                </c:pt>
                <c:pt idx="13">
                  <c:v>1995</c:v>
                </c:pt>
                <c:pt idx="14">
                  <c:v>1994</c:v>
                </c:pt>
                <c:pt idx="15">
                  <c:v>1993</c:v>
                </c:pt>
              </c:numCache>
            </c:numRef>
          </c:cat>
          <c:val>
            <c:numRef>
              <c:f>'FF case study'!$F$6:$F$21</c:f>
              <c:numCache>
                <c:formatCode>General</c:formatCode>
                <c:ptCount val="16"/>
                <c:pt idx="0">
                  <c:v>23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</c:ser>
        <c:marker val="1"/>
        <c:axId val="112059904"/>
        <c:axId val="112100096"/>
      </c:lineChart>
      <c:lineChart>
        <c:grouping val="standard"/>
        <c:ser>
          <c:idx val="1"/>
          <c:order val="0"/>
          <c:tx>
            <c:v>Equity Partners</c:v>
          </c:tx>
          <c:spPr>
            <a:ln w="12700">
              <a:solidFill>
                <a:srgbClr val="000000"/>
              </a:solidFill>
              <a:prstDash val="lgDashDot"/>
            </a:ln>
          </c:spPr>
          <c:marker>
            <c:symbol val="x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'FF case study'!$A$6:$A$21</c:f>
              <c:numCache>
                <c:formatCode>General</c:formatCode>
                <c:ptCount val="16"/>
                <c:pt idx="0">
                  <c:v>2008</c:v>
                </c:pt>
                <c:pt idx="1">
                  <c:v>2007</c:v>
                </c:pt>
                <c:pt idx="2">
                  <c:v>2006</c:v>
                </c:pt>
                <c:pt idx="3">
                  <c:v>2005</c:v>
                </c:pt>
                <c:pt idx="4">
                  <c:v>2004</c:v>
                </c:pt>
                <c:pt idx="5">
                  <c:v>2003</c:v>
                </c:pt>
                <c:pt idx="6">
                  <c:v>2002</c:v>
                </c:pt>
                <c:pt idx="7">
                  <c:v>2001</c:v>
                </c:pt>
                <c:pt idx="8">
                  <c:v>2000</c:v>
                </c:pt>
                <c:pt idx="9">
                  <c:v>1999</c:v>
                </c:pt>
                <c:pt idx="10">
                  <c:v>1998</c:v>
                </c:pt>
                <c:pt idx="11">
                  <c:v>1997</c:v>
                </c:pt>
                <c:pt idx="12">
                  <c:v>1996</c:v>
                </c:pt>
                <c:pt idx="13">
                  <c:v>1995</c:v>
                </c:pt>
                <c:pt idx="14">
                  <c:v>1994</c:v>
                </c:pt>
                <c:pt idx="15">
                  <c:v>1993</c:v>
                </c:pt>
              </c:numCache>
            </c:numRef>
          </c:cat>
          <c:val>
            <c:numRef>
              <c:f>'FF case study'!$E$6:$E$21</c:f>
              <c:numCache>
                <c:formatCode>General</c:formatCode>
                <c:ptCount val="16"/>
                <c:pt idx="0">
                  <c:v>415</c:v>
                </c:pt>
                <c:pt idx="1">
                  <c:v>474</c:v>
                </c:pt>
                <c:pt idx="2">
                  <c:v>521</c:v>
                </c:pt>
                <c:pt idx="3">
                  <c:v>515</c:v>
                </c:pt>
                <c:pt idx="4">
                  <c:v>516</c:v>
                </c:pt>
                <c:pt idx="5">
                  <c:v>500</c:v>
                </c:pt>
                <c:pt idx="6">
                  <c:v>475</c:v>
                </c:pt>
                <c:pt idx="7">
                  <c:v>400</c:v>
                </c:pt>
                <c:pt idx="8">
                  <c:v>240</c:v>
                </c:pt>
                <c:pt idx="9" formatCode="#,##0">
                  <c:v>211</c:v>
                </c:pt>
                <c:pt idx="10" formatCode="#,##0">
                  <c:v>185</c:v>
                </c:pt>
                <c:pt idx="11" formatCode="#,##0">
                  <c:v>163</c:v>
                </c:pt>
                <c:pt idx="12" formatCode="#,##0">
                  <c:v>153</c:v>
                </c:pt>
                <c:pt idx="13" formatCode="#,##0">
                  <c:v>141</c:v>
                </c:pt>
                <c:pt idx="14" formatCode="#,##0">
                  <c:v>125</c:v>
                </c:pt>
                <c:pt idx="15" formatCode="#,##0">
                  <c:v>125</c:v>
                </c:pt>
              </c:numCache>
            </c:numRef>
          </c:val>
          <c:smooth val="1"/>
        </c:ser>
        <c:ser>
          <c:idx val="0"/>
          <c:order val="1"/>
          <c:tx>
            <c:v>Associates </c:v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val>
            <c:numRef>
              <c:f>'FF case study'!$G$6:$G$21</c:f>
              <c:numCache>
                <c:formatCode>General</c:formatCode>
                <c:ptCount val="16"/>
                <c:pt idx="0">
                  <c:v>1957</c:v>
                </c:pt>
                <c:pt idx="1">
                  <c:v>1880</c:v>
                </c:pt>
                <c:pt idx="2">
                  <c:v>1801</c:v>
                </c:pt>
                <c:pt idx="3">
                  <c:v>1833</c:v>
                </c:pt>
                <c:pt idx="4">
                  <c:v>1861</c:v>
                </c:pt>
                <c:pt idx="5">
                  <c:v>2070</c:v>
                </c:pt>
                <c:pt idx="6">
                  <c:v>1945</c:v>
                </c:pt>
                <c:pt idx="7">
                  <c:v>1630</c:v>
                </c:pt>
                <c:pt idx="8">
                  <c:v>1120</c:v>
                </c:pt>
                <c:pt idx="9">
                  <c:v>997</c:v>
                </c:pt>
                <c:pt idx="10">
                  <c:v>747</c:v>
                </c:pt>
                <c:pt idx="11">
                  <c:v>656</c:v>
                </c:pt>
                <c:pt idx="12">
                  <c:v>602</c:v>
                </c:pt>
                <c:pt idx="13">
                  <c:v>566</c:v>
                </c:pt>
                <c:pt idx="14">
                  <c:v>510</c:v>
                </c:pt>
                <c:pt idx="15">
                  <c:v>510</c:v>
                </c:pt>
              </c:numCache>
            </c:numRef>
          </c:val>
          <c:smooth val="1"/>
        </c:ser>
        <c:ser>
          <c:idx val="2"/>
          <c:order val="2"/>
          <c:tx>
            <c:v>PEP</c:v>
          </c:tx>
          <c:spPr>
            <a:ln w="12700">
              <a:solidFill>
                <a:srgbClr val="000000"/>
              </a:solidFill>
              <a:prstDash val="lgDash"/>
            </a:ln>
          </c:spPr>
          <c:marker>
            <c:symbol val="triang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val>
            <c:numRef>
              <c:f>'FF case study'!$Y$6:$Y$21</c:f>
              <c:numCache>
                <c:formatCode>#,##0_ ;\-#,##0\ </c:formatCode>
                <c:ptCount val="16"/>
                <c:pt idx="0" formatCode="General">
                  <c:v>1434</c:v>
                </c:pt>
                <c:pt idx="1">
                  <c:v>1075.2331288343557</c:v>
                </c:pt>
                <c:pt idx="2">
                  <c:v>901.18042226487512</c:v>
                </c:pt>
                <c:pt idx="3">
                  <c:v>783.37514855407369</c:v>
                </c:pt>
                <c:pt idx="4">
                  <c:v>776.73116089613029</c:v>
                </c:pt>
                <c:pt idx="5">
                  <c:v>829.48825503355692</c:v>
                </c:pt>
                <c:pt idx="6">
                  <c:v>871.76305567544239</c:v>
                </c:pt>
                <c:pt idx="7">
                  <c:v>929.68407196138651</c:v>
                </c:pt>
                <c:pt idx="8">
                  <c:v>851.53691574873483</c:v>
                </c:pt>
                <c:pt idx="9">
                  <c:v>733.85057471264372</c:v>
                </c:pt>
                <c:pt idx="10">
                  <c:v>685.80765639589163</c:v>
                </c:pt>
                <c:pt idx="11">
                  <c:v>607.01352003862871</c:v>
                </c:pt>
                <c:pt idx="12">
                  <c:v>495.21912350597609</c:v>
                </c:pt>
                <c:pt idx="13">
                  <c:v>423.60591635498122</c:v>
                </c:pt>
                <c:pt idx="14">
                  <c:v>439.77572559366757</c:v>
                </c:pt>
                <c:pt idx="15" formatCode="#,##0.0">
                  <c:v>461.154</c:v>
                </c:pt>
              </c:numCache>
            </c:numRef>
          </c:val>
          <c:smooth val="1"/>
        </c:ser>
        <c:marker val="1"/>
        <c:axId val="112101632"/>
        <c:axId val="112112384"/>
      </c:lineChart>
      <c:catAx>
        <c:axId val="112059904"/>
        <c:scaling>
          <c:orientation val="maxMin"/>
        </c:scaling>
        <c:axPos val="b"/>
        <c:numFmt formatCode="General" sourceLinked="1"/>
        <c:majorTickMark val="cross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-282000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12100096"/>
        <c:crosses val="autoZero"/>
        <c:lblAlgn val="ctr"/>
        <c:lblOffset val="100"/>
        <c:tickLblSkip val="1"/>
        <c:tickMarkSkip val="1"/>
      </c:catAx>
      <c:valAx>
        <c:axId val="112100096"/>
        <c:scaling>
          <c:orientation val="minMax"/>
          <c:max val="200"/>
        </c:scaling>
        <c:axPos val="r"/>
        <c:numFmt formatCode="General" sourceLinked="1"/>
        <c:majorTickMark val="cross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12059904"/>
        <c:crosses val="autoZero"/>
        <c:crossBetween val="between"/>
        <c:majorUnit val="50"/>
        <c:minorUnit val="25"/>
      </c:valAx>
      <c:catAx>
        <c:axId val="112101632"/>
        <c:scaling>
          <c:orientation val="maxMin"/>
        </c:scaling>
        <c:delete val="1"/>
        <c:axPos val="b"/>
        <c:numFmt formatCode="General" sourceLinked="1"/>
        <c:tickLblPos val="nextTo"/>
        <c:crossAx val="112112384"/>
        <c:crosses val="autoZero"/>
        <c:lblAlgn val="ctr"/>
        <c:lblOffset val="100"/>
      </c:catAx>
      <c:valAx>
        <c:axId val="112112384"/>
        <c:scaling>
          <c:orientation val="minMax"/>
          <c:max val="3000"/>
        </c:scaling>
        <c:axPos val="l"/>
        <c:numFmt formatCode="General" sourceLinked="1"/>
        <c:majorTickMark val="cross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12101632"/>
        <c:crosses val="max"/>
        <c:crossBetween val="between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4391691394658754"/>
          <c:y val="0.93002257336343153"/>
          <c:w val="0.72255192878338281"/>
          <c:h val="5.4176072234762979E-2"/>
        </c:manualLayout>
      </c:layout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</c:chart>
  <c:spPr>
    <a:solidFill>
      <a:srgbClr val="FFFFFF"/>
    </a:solidFill>
    <a:ln w="9525"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06E9E-482D-49C5-9EB0-E44681C21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faulconb</dc:creator>
  <cp:keywords/>
  <dc:description/>
  <cp:lastModifiedBy>faulconb</cp:lastModifiedBy>
  <cp:revision>3</cp:revision>
  <dcterms:created xsi:type="dcterms:W3CDTF">2009-05-05T15:38:00Z</dcterms:created>
  <dcterms:modified xsi:type="dcterms:W3CDTF">2009-05-05T15:47:00Z</dcterms:modified>
</cp:coreProperties>
</file>